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4" w:rsidRDefault="00BB7FA1">
      <w:pPr>
        <w:pStyle w:val="1"/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ascii="宋体" w:cs="宋体"/>
          <w:sz w:val="44"/>
          <w:szCs w:val="44"/>
        </w:rPr>
      </w:pPr>
      <w:bookmarkStart w:id="0" w:name="_Toc478834200"/>
      <w:r>
        <w:rPr>
          <w:rFonts w:ascii="宋体" w:hAnsi="宋体" w:cs="宋体" w:hint="eastAsia"/>
          <w:sz w:val="44"/>
          <w:szCs w:val="44"/>
        </w:rPr>
        <w:t>原发性高血压临床路径</w:t>
      </w:r>
      <w:bookmarkEnd w:id="0"/>
    </w:p>
    <w:p w:rsidR="007E0424" w:rsidRDefault="00BB7FA1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sz w:val="32"/>
          <w:szCs w:val="32"/>
        </w:rPr>
        <w:t>年版）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C26244" w:rsidRPr="00C26244">
        <w:rPr>
          <w:rFonts w:ascii="黑体" w:eastAsia="黑体" w:hAnsi="黑体" w:cs="黑体" w:hint="eastAsia"/>
          <w:sz w:val="32"/>
          <w:szCs w:val="32"/>
        </w:rPr>
        <w:t>原发性高血压临床路径</w:t>
      </w:r>
      <w:r>
        <w:rPr>
          <w:rFonts w:ascii="黑体" w:eastAsia="黑体" w:hAnsi="黑体" w:cs="黑体" w:hint="eastAsia"/>
          <w:sz w:val="32"/>
          <w:szCs w:val="32"/>
        </w:rPr>
        <w:t>标准住院流程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（一）适用对象。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第一诊断为原发性高血压（</w:t>
      </w:r>
      <w:r>
        <w:rPr>
          <w:rFonts w:ascii="仿宋_GB2312" w:eastAsia="仿宋_GB2312" w:hAnsi="宋体" w:cs="仿宋_GB2312"/>
          <w:sz w:val="32"/>
          <w:szCs w:val="32"/>
        </w:rPr>
        <w:t>ICD-10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>I10xx11</w:t>
      </w:r>
      <w:r>
        <w:rPr>
          <w:rFonts w:ascii="仿宋_GB2312" w:eastAsia="仿宋_GB2312" w:hAnsi="宋体" w:cs="仿宋_GB2312" w:hint="eastAsia"/>
          <w:sz w:val="32"/>
          <w:szCs w:val="32"/>
        </w:rPr>
        <w:t>）。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（二）诊断依据。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根据《中国高血压防治指南</w:t>
      </w:r>
      <w:r>
        <w:rPr>
          <w:rFonts w:ascii="仿宋_GB2312" w:eastAsia="仿宋_GB2312" w:hAnsi="宋体" w:cs="仿宋_GB2312"/>
          <w:sz w:val="32"/>
          <w:szCs w:val="32"/>
        </w:rPr>
        <w:t>2010</w:t>
      </w:r>
      <w:r>
        <w:rPr>
          <w:rFonts w:ascii="仿宋_GB2312" w:eastAsia="仿宋_GB2312" w:hAnsi="宋体" w:cs="仿宋_GB2312" w:hint="eastAsia"/>
          <w:sz w:val="32"/>
          <w:szCs w:val="32"/>
        </w:rPr>
        <w:t>》（中国高血压防治指南修订委员会，</w:t>
      </w:r>
      <w:r>
        <w:rPr>
          <w:rFonts w:ascii="仿宋_GB2312" w:eastAsia="仿宋_GB2312" w:hAnsi="宋体" w:cs="仿宋_GB2312"/>
          <w:sz w:val="32"/>
          <w:szCs w:val="32"/>
        </w:rPr>
        <w:t>2010</w:t>
      </w:r>
      <w:r>
        <w:rPr>
          <w:rFonts w:ascii="仿宋_GB2312" w:eastAsia="仿宋_GB2312" w:hAnsi="宋体" w:cs="仿宋_GB2312" w:hint="eastAsia"/>
          <w:sz w:val="32"/>
          <w:szCs w:val="32"/>
        </w:rPr>
        <w:t>）及</w:t>
      </w:r>
      <w:r>
        <w:rPr>
          <w:rFonts w:ascii="仿宋_GB2312" w:eastAsia="仿宋_GB2312" w:hAnsi="宋体" w:cs="仿宋_GB2312"/>
          <w:sz w:val="32"/>
          <w:szCs w:val="32"/>
        </w:rPr>
        <w:t>JNC8</w:t>
      </w:r>
      <w:r>
        <w:rPr>
          <w:rFonts w:ascii="仿宋_GB2312" w:eastAsia="仿宋_GB2312" w:hAnsi="宋体" w:cs="仿宋_GB2312" w:hint="eastAsia"/>
          <w:sz w:val="32"/>
          <w:szCs w:val="32"/>
        </w:rPr>
        <w:t>与</w:t>
      </w:r>
      <w:r>
        <w:rPr>
          <w:rFonts w:ascii="仿宋_GB2312" w:eastAsia="仿宋_GB2312" w:hAnsi="宋体" w:cs="仿宋_GB2312"/>
          <w:sz w:val="32"/>
          <w:szCs w:val="32"/>
        </w:rPr>
        <w:t>ESH</w:t>
      </w:r>
      <w:r>
        <w:rPr>
          <w:rFonts w:ascii="仿宋_GB2312" w:eastAsia="仿宋_GB2312" w:hAnsi="宋体" w:cs="仿宋_GB2312" w:hint="eastAsia"/>
          <w:sz w:val="32"/>
          <w:szCs w:val="32"/>
        </w:rPr>
        <w:t>相关指南。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1. </w:t>
      </w:r>
      <w:r>
        <w:rPr>
          <w:rFonts w:ascii="仿宋_GB2312" w:eastAsia="仿宋_GB2312" w:hAnsi="宋体" w:cs="仿宋_GB2312" w:hint="eastAsia"/>
          <w:sz w:val="32"/>
          <w:szCs w:val="32"/>
        </w:rPr>
        <w:t>高血压的定义：在未使用降压药物的情况下，非同日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次测量血压，收缩压≥</w:t>
      </w:r>
      <w:r>
        <w:rPr>
          <w:rFonts w:ascii="仿宋_GB2312" w:eastAsia="仿宋_GB2312" w:hAnsi="宋体" w:cs="仿宋_GB2312"/>
          <w:sz w:val="32"/>
          <w:szCs w:val="32"/>
        </w:rPr>
        <w:t>140mmHg</w:t>
      </w:r>
      <w:r>
        <w:rPr>
          <w:rFonts w:ascii="仿宋_GB2312" w:eastAsia="仿宋_GB2312" w:hAnsi="宋体" w:cs="仿宋_GB2312" w:hint="eastAsia"/>
          <w:sz w:val="32"/>
          <w:szCs w:val="32"/>
        </w:rPr>
        <w:t>和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或舒张压≥</w:t>
      </w:r>
      <w:r>
        <w:rPr>
          <w:rFonts w:ascii="仿宋_GB2312" w:eastAsia="仿宋_GB2312" w:hAnsi="宋体" w:cs="仿宋_GB2312"/>
          <w:sz w:val="32"/>
          <w:szCs w:val="32"/>
        </w:rPr>
        <w:t>90mmHg</w:t>
      </w:r>
      <w:r>
        <w:rPr>
          <w:rFonts w:ascii="仿宋_GB2312" w:eastAsia="仿宋_GB2312" w:hAnsi="宋体" w:cs="仿宋_GB2312" w:hint="eastAsia"/>
          <w:sz w:val="32"/>
          <w:szCs w:val="32"/>
        </w:rPr>
        <w:t>。收缩压≥</w:t>
      </w:r>
      <w:r>
        <w:rPr>
          <w:rFonts w:ascii="仿宋_GB2312" w:eastAsia="仿宋_GB2312" w:hAnsi="宋体" w:cs="仿宋_GB2312"/>
          <w:sz w:val="32"/>
          <w:szCs w:val="32"/>
        </w:rPr>
        <w:t>140mmHg</w:t>
      </w:r>
      <w:r>
        <w:rPr>
          <w:rFonts w:ascii="仿宋_GB2312" w:eastAsia="仿宋_GB2312" w:hAnsi="宋体" w:cs="仿宋_GB2312" w:hint="eastAsia"/>
          <w:sz w:val="32"/>
          <w:szCs w:val="32"/>
        </w:rPr>
        <w:t>和舒张压</w:t>
      </w:r>
      <w:r>
        <w:rPr>
          <w:rFonts w:ascii="仿宋_GB2312" w:eastAsia="仿宋_GB2312" w:hAnsi="宋体" w:cs="仿宋_GB2312"/>
          <w:sz w:val="32"/>
          <w:szCs w:val="32"/>
        </w:rPr>
        <w:t>&lt;90mmHg</w:t>
      </w:r>
      <w:r>
        <w:rPr>
          <w:rFonts w:ascii="仿宋_GB2312" w:eastAsia="仿宋_GB2312" w:hAnsi="宋体" w:cs="仿宋_GB2312" w:hint="eastAsia"/>
          <w:sz w:val="32"/>
          <w:szCs w:val="32"/>
        </w:rPr>
        <w:t>为单纯性收缩期高血压。患者既往有高血压史，目前正在使用降压药物，血压虽然低于</w:t>
      </w:r>
      <w:r>
        <w:rPr>
          <w:rFonts w:ascii="仿宋_GB2312" w:eastAsia="仿宋_GB2312" w:hAnsi="宋体" w:cs="仿宋_GB2312"/>
          <w:sz w:val="32"/>
          <w:szCs w:val="32"/>
        </w:rPr>
        <w:t>140/90mmHg</w:t>
      </w:r>
      <w:r>
        <w:rPr>
          <w:rFonts w:ascii="仿宋_GB2312" w:eastAsia="仿宋_GB2312" w:hAnsi="宋体" w:cs="仿宋_GB2312" w:hint="eastAsia"/>
          <w:sz w:val="32"/>
          <w:szCs w:val="32"/>
        </w:rPr>
        <w:t>，也诊断为高血压。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根据血压升高水平，又进一步将高血压分为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级、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级和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级（见表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）。当收缩压和舒张压分属于不同级别时，以较高的级别为准。</w:t>
      </w:r>
    </w:p>
    <w:p w:rsidR="007E0424" w:rsidRDefault="00BB7FA1">
      <w:pPr>
        <w:autoSpaceDE w:val="0"/>
        <w:autoSpaceDN w:val="0"/>
        <w:adjustRightInd w:val="0"/>
        <w:snapToGrid w:val="0"/>
        <w:spacing w:line="360" w:lineRule="auto"/>
        <w:ind w:firstLineChars="160" w:firstLine="512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表</w:t>
      </w:r>
      <w:r>
        <w:rPr>
          <w:rFonts w:ascii="楷体_GB2312" w:eastAsia="楷体_GB2312" w:hAnsi="宋体" w:cs="楷体_GB2312"/>
          <w:sz w:val="32"/>
          <w:szCs w:val="32"/>
        </w:rPr>
        <w:t xml:space="preserve">1 </w:t>
      </w:r>
      <w:r>
        <w:rPr>
          <w:rFonts w:ascii="楷体_GB2312" w:eastAsia="楷体_GB2312" w:hAnsi="宋体" w:cs="楷体_GB2312" w:hint="eastAsia"/>
          <w:sz w:val="32"/>
          <w:szCs w:val="32"/>
        </w:rPr>
        <w:t>血压分类水平和定义</w:t>
      </w:r>
    </w:p>
    <w:tbl>
      <w:tblPr>
        <w:tblW w:w="9134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548"/>
        <w:gridCol w:w="2433"/>
        <w:gridCol w:w="1869"/>
        <w:gridCol w:w="2284"/>
      </w:tblGrid>
      <w:tr w:rsidR="007E0424">
        <w:trPr>
          <w:trHeight w:val="1788"/>
        </w:trPr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收缩压（</w:t>
            </w:r>
            <w:r>
              <w:rPr>
                <w:rFonts w:ascii="宋体" w:hAnsi="宋体" w:cs="宋体"/>
                <w:sz w:val="24"/>
                <w:szCs w:val="24"/>
              </w:rPr>
              <w:t>mmHg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4" w:rsidRDefault="007E0424">
            <w:pPr>
              <w:adjustRightInd w:val="0"/>
              <w:snapToGrid w:val="0"/>
              <w:spacing w:before="780" w:after="936"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舒张压（</w:t>
            </w:r>
            <w:r>
              <w:rPr>
                <w:rFonts w:ascii="宋体" w:hAnsi="宋体" w:cs="宋体"/>
                <w:sz w:val="24"/>
                <w:szCs w:val="24"/>
              </w:rPr>
              <w:t>mmHg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7E0424"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4" w:rsidRDefault="00BB7FA1">
            <w:pPr>
              <w:tabs>
                <w:tab w:val="left" w:pos="283"/>
              </w:tabs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正常血压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＜</w:t>
            </w:r>
            <w:r>
              <w:rPr>
                <w:rFonts w:ascii="宋体" w:hAnsi="宋体" w:cs="宋体"/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＜</w:t>
            </w:r>
            <w:r>
              <w:rPr>
                <w:rFonts w:ascii="宋体" w:hAnsi="宋体" w:cs="宋体"/>
                <w:sz w:val="24"/>
                <w:szCs w:val="24"/>
              </w:rPr>
              <w:t>80</w:t>
            </w:r>
          </w:p>
        </w:tc>
      </w:tr>
      <w:tr w:rsidR="007E0424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正常高值血压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120-139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和（或）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80-89</w:t>
            </w:r>
          </w:p>
        </w:tc>
      </w:tr>
      <w:tr w:rsidR="007E0424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级高血压（轻度）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140-159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和（或）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90-99</w:t>
            </w:r>
          </w:p>
        </w:tc>
      </w:tr>
      <w:tr w:rsidR="007E0424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级高血压（中度）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160-179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和（或）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100-109</w:t>
            </w:r>
          </w:p>
        </w:tc>
      </w:tr>
      <w:tr w:rsidR="007E0424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级高血压（重度）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和（或）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110</w:t>
            </w:r>
          </w:p>
        </w:tc>
      </w:tr>
      <w:tr w:rsidR="007E0424"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单纯收缩期高血压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＜</w:t>
            </w:r>
            <w:r>
              <w:rPr>
                <w:rFonts w:ascii="宋体" w:hAnsi="宋体" w:cs="宋体"/>
                <w:sz w:val="24"/>
                <w:szCs w:val="24"/>
              </w:rPr>
              <w:t>90</w:t>
            </w:r>
          </w:p>
        </w:tc>
      </w:tr>
    </w:tbl>
    <w:p w:rsidR="007E0424" w:rsidRDefault="007E0424">
      <w:pPr>
        <w:autoSpaceDE w:val="0"/>
        <w:autoSpaceDN w:val="0"/>
        <w:adjustRightInd w:val="0"/>
        <w:snapToGrid w:val="0"/>
        <w:spacing w:line="360" w:lineRule="auto"/>
        <w:ind w:firstLineChars="160" w:firstLine="512"/>
        <w:jc w:val="left"/>
        <w:rPr>
          <w:rFonts w:ascii="楷体_GB2312" w:eastAsia="楷体_GB2312" w:hAnsi="宋体"/>
          <w:sz w:val="32"/>
          <w:szCs w:val="32"/>
        </w:rPr>
      </w:pPr>
    </w:p>
    <w:p w:rsidR="007E0424" w:rsidRDefault="00BB7F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寻找心血管危险因素、靶器官损害以及相关临床情况，按心血管风险分层（见表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）：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表</w:t>
      </w:r>
      <w:r>
        <w:rPr>
          <w:rFonts w:ascii="楷体_GB2312" w:eastAsia="楷体_GB2312" w:hAnsi="宋体" w:cs="楷体_GB2312"/>
          <w:sz w:val="32"/>
          <w:szCs w:val="32"/>
        </w:rPr>
        <w:t xml:space="preserve">2  </w:t>
      </w:r>
      <w:r>
        <w:rPr>
          <w:rFonts w:ascii="楷体_GB2312" w:eastAsia="楷体_GB2312" w:hAnsi="宋体" w:cs="楷体_GB2312" w:hint="eastAsia"/>
          <w:sz w:val="32"/>
          <w:szCs w:val="32"/>
        </w:rPr>
        <w:t>高血压患者心血管危险分层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7E0424">
        <w:trPr>
          <w:jc w:val="center"/>
        </w:trPr>
        <w:tc>
          <w:tcPr>
            <w:tcW w:w="2130" w:type="dxa"/>
            <w:vMerge w:val="restart"/>
            <w:vAlign w:val="center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其他危险因素和病史</w:t>
            </w:r>
          </w:p>
        </w:tc>
        <w:tc>
          <w:tcPr>
            <w:tcW w:w="6392" w:type="dxa"/>
            <w:gridSpan w:val="3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血压水平</w:t>
            </w:r>
          </w:p>
        </w:tc>
      </w:tr>
      <w:tr w:rsidR="007E0424">
        <w:trPr>
          <w:jc w:val="center"/>
        </w:trPr>
        <w:tc>
          <w:tcPr>
            <w:tcW w:w="2130" w:type="dxa"/>
            <w:vMerge/>
            <w:vAlign w:val="center"/>
          </w:tcPr>
          <w:p w:rsidR="007E0424" w:rsidRDefault="007E0424">
            <w:pPr>
              <w:widowControl/>
              <w:adjustRightInd w:val="0"/>
              <w:snapToGrid w:val="0"/>
              <w:spacing w:before="780" w:after="936" w:line="360" w:lineRule="auto"/>
              <w:ind w:firstLineChars="160" w:firstLine="385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1 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SBP140-159mmHg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sz w:val="24"/>
                <w:szCs w:val="24"/>
              </w:rPr>
              <w:t>DBP90-99mmHg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 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SBP160-179mmHg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sz w:val="24"/>
                <w:szCs w:val="24"/>
              </w:rPr>
              <w:t>DBP100-109mmHg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 </w:t>
            </w:r>
            <w:r>
              <w:rPr>
                <w:rFonts w:ascii="宋体" w:hAnsi="宋体" w:cs="宋体" w:hint="eastAsia"/>
                <w:sz w:val="24"/>
                <w:szCs w:val="24"/>
              </w:rPr>
              <w:t>级高血压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SBP</w:t>
            </w: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180mmHg</w:t>
            </w:r>
          </w:p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sz w:val="24"/>
                <w:szCs w:val="24"/>
              </w:rPr>
              <w:t>DBP</w:t>
            </w: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110mmHg</w:t>
            </w:r>
          </w:p>
        </w:tc>
      </w:tr>
      <w:tr w:rsidR="007E0424">
        <w:trPr>
          <w:jc w:val="center"/>
        </w:trPr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低危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高危</w:t>
            </w:r>
          </w:p>
        </w:tc>
      </w:tr>
      <w:tr w:rsidR="007E0424">
        <w:trPr>
          <w:jc w:val="center"/>
        </w:trPr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1-2</w:t>
            </w:r>
            <w:r>
              <w:rPr>
                <w:rFonts w:ascii="宋体" w:hAnsi="宋体" w:cs="宋体" w:hint="eastAsia"/>
                <w:sz w:val="24"/>
                <w:szCs w:val="24"/>
              </w:rPr>
              <w:t>个其他危险因素</w:t>
            </w:r>
          </w:p>
        </w:tc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很高危</w:t>
            </w:r>
          </w:p>
        </w:tc>
      </w:tr>
      <w:tr w:rsidR="007E0424">
        <w:trPr>
          <w:jc w:val="center"/>
        </w:trPr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≧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个其他危险因素或靶器官损害</w:t>
            </w:r>
          </w:p>
        </w:tc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很高危</w:t>
            </w:r>
          </w:p>
        </w:tc>
      </w:tr>
      <w:tr w:rsidR="007E0424">
        <w:trPr>
          <w:jc w:val="center"/>
        </w:trPr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临床并发症或合并糖尿病</w:t>
            </w:r>
          </w:p>
        </w:tc>
        <w:tc>
          <w:tcPr>
            <w:tcW w:w="2130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很高危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很高危</w:t>
            </w:r>
          </w:p>
        </w:tc>
        <w:tc>
          <w:tcPr>
            <w:tcW w:w="2131" w:type="dxa"/>
          </w:tcPr>
          <w:p w:rsidR="007E0424" w:rsidRDefault="00BB7FA1">
            <w:pPr>
              <w:adjustRightInd w:val="0"/>
              <w:snapToGrid w:val="0"/>
              <w:spacing w:line="360" w:lineRule="auto"/>
              <w:ind w:firstLineChars="160" w:firstLine="38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很高危</w:t>
            </w:r>
          </w:p>
        </w:tc>
      </w:tr>
    </w:tbl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除外各种继发性高血压。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（三）进入路径标准。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1. </w:t>
      </w:r>
      <w:r>
        <w:rPr>
          <w:rFonts w:ascii="仿宋_GB2312" w:eastAsia="仿宋_GB2312" w:hAnsi="宋体" w:cs="仿宋_GB2312" w:hint="eastAsia"/>
          <w:sz w:val="32"/>
          <w:szCs w:val="32"/>
        </w:rPr>
        <w:t>第一诊断为原发性高血压（</w:t>
      </w:r>
      <w:r>
        <w:rPr>
          <w:rFonts w:ascii="仿宋_GB2312" w:eastAsia="仿宋_GB2312" w:hAnsi="宋体" w:cs="仿宋_GB2312"/>
          <w:sz w:val="32"/>
          <w:szCs w:val="32"/>
        </w:rPr>
        <w:t>ICD-10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>I10xx11</w:t>
      </w:r>
      <w:r>
        <w:rPr>
          <w:rFonts w:ascii="仿宋_GB2312" w:eastAsia="仿宋_GB2312" w:hAnsi="宋体" w:cs="仿宋_GB2312" w:hint="eastAsia"/>
          <w:sz w:val="32"/>
          <w:szCs w:val="32"/>
        </w:rPr>
        <w:t>）。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如患有其他非心血管疾病，但在住院期间不需特殊处理（检查和治疗），也不影响第一诊断时，可以进入路径。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lastRenderedPageBreak/>
        <w:t>（四）标准住院日为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>7-10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天。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（五）住院期间的检查项目。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4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必需的检查项目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血生化（钾、钠、钙、空腹血糖、血清总胆固醇、甘油三酯、高密度脂蛋白胆固醇、低密度脂蛋白胆固醇、尿酸、肌酐）；估算的肌酐清除率或肾小球滤过率；全血细胞计数、血红蛋白和血细胞比容；尿液分析（尿蛋白、糖和尿沉渣镜检）；心电图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4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根据患者病情进行的检查项目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餐后2h血糖、糖化血红蛋白或口服糖耐量试验（当空腹血糖</w:t>
      </w:r>
      <w:r>
        <w:rPr>
          <w:rFonts w:ascii="仿宋_GB2312" w:eastAsia="仿宋_GB2312" w:hAnsi="宋体" w:cs="仿宋_GB2312"/>
          <w:sz w:val="32"/>
          <w:szCs w:val="32"/>
        </w:rPr>
        <w:t xml:space="preserve">&gt;6.1mmol </w:t>
      </w:r>
      <w:r>
        <w:rPr>
          <w:rFonts w:ascii="仿宋_GB2312" w:eastAsia="仿宋_GB2312" w:hAnsi="宋体" w:cs="仿宋_GB2312" w:hint="eastAsia"/>
          <w:sz w:val="32"/>
          <w:szCs w:val="32"/>
        </w:rPr>
        <w:t>时测定）、同型半胱氨酸、高敏</w:t>
      </w:r>
      <w:r>
        <w:rPr>
          <w:rFonts w:ascii="仿宋_GB2312" w:eastAsia="仿宋_GB2312" w:hAnsi="宋体" w:cs="仿宋_GB2312"/>
          <w:sz w:val="32"/>
          <w:szCs w:val="32"/>
        </w:rPr>
        <w:t>C</w:t>
      </w:r>
      <w:r>
        <w:rPr>
          <w:rFonts w:ascii="仿宋_GB2312" w:eastAsia="仿宋_GB2312" w:hAnsi="宋体" w:cs="仿宋_GB2312" w:hint="eastAsia"/>
          <w:sz w:val="32"/>
          <w:szCs w:val="32"/>
        </w:rPr>
        <w:t>反应蛋白、尿白蛋白定量（糖尿病患者必查项目）、尿蛋白定量（用于尿常规检查蛋白阳性者）；</w:t>
      </w:r>
      <w:r>
        <w:rPr>
          <w:rFonts w:ascii="仿宋_GB2312" w:eastAsia="仿宋_GB2312" w:hAnsi="宋体" w:cs="仿宋_GB2312"/>
          <w:sz w:val="32"/>
          <w:szCs w:val="32"/>
        </w:rPr>
        <w:t xml:space="preserve">24 </w:t>
      </w:r>
      <w:r>
        <w:rPr>
          <w:rFonts w:ascii="仿宋_GB2312" w:eastAsia="仿宋_GB2312" w:hAnsi="宋体" w:cs="仿宋_GB2312" w:hint="eastAsia"/>
          <w:sz w:val="32"/>
          <w:szCs w:val="32"/>
        </w:rPr>
        <w:t>小时动态血压监测</w:t>
      </w:r>
      <w:r>
        <w:rPr>
          <w:rFonts w:ascii="仿宋_GB2312" w:eastAsia="仿宋_GB2312" w:hAnsi="宋体" w:cs="仿宋_GB2312"/>
          <w:sz w:val="32"/>
          <w:szCs w:val="32"/>
        </w:rPr>
        <w:t>(ABPM)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sz w:val="32"/>
          <w:szCs w:val="32"/>
        </w:rPr>
        <w:t>24</w:t>
      </w:r>
      <w:r>
        <w:rPr>
          <w:rFonts w:ascii="仿宋_GB2312" w:eastAsia="仿宋_GB2312" w:hAnsi="宋体" w:cs="仿宋_GB2312" w:hint="eastAsia"/>
          <w:sz w:val="32"/>
          <w:szCs w:val="32"/>
        </w:rPr>
        <w:t>小时心电图、超声心动图、颈动脉超声、眼底、胸片、脉搏波传导速度（</w:t>
      </w:r>
      <w:r>
        <w:rPr>
          <w:rFonts w:ascii="仿宋_GB2312" w:eastAsia="仿宋_GB2312" w:hAnsi="宋体" w:cs="仿宋_GB2312"/>
          <w:sz w:val="32"/>
          <w:szCs w:val="32"/>
        </w:rPr>
        <w:t>PWV</w:t>
      </w:r>
      <w:r>
        <w:rPr>
          <w:rFonts w:ascii="仿宋_GB2312" w:eastAsia="仿宋_GB2312" w:hAnsi="宋体" w:cs="仿宋_GB2312" w:hint="eastAsia"/>
          <w:sz w:val="32"/>
          <w:szCs w:val="32"/>
        </w:rPr>
        <w:t>）以及踝臂血压指数（</w:t>
      </w:r>
      <w:r>
        <w:rPr>
          <w:rFonts w:ascii="仿宋_GB2312" w:eastAsia="仿宋_GB2312" w:hAnsi="宋体" w:cs="仿宋_GB2312"/>
          <w:sz w:val="32"/>
          <w:szCs w:val="32"/>
        </w:rPr>
        <w:t>ABI</w:t>
      </w:r>
      <w:r>
        <w:rPr>
          <w:rFonts w:ascii="仿宋_GB2312" w:eastAsia="仿宋_GB2312" w:hAnsi="宋体" w:cs="仿宋_GB2312" w:hint="eastAsia"/>
          <w:sz w:val="32"/>
          <w:szCs w:val="32"/>
        </w:rPr>
        <w:t>）等、肾和肾动脉</w:t>
      </w:r>
      <w:r>
        <w:rPr>
          <w:rFonts w:ascii="仿宋_GB2312" w:eastAsia="仿宋_GB2312" w:hAnsi="宋体" w:cs="仿宋_GB2312"/>
          <w:sz w:val="32"/>
          <w:szCs w:val="32"/>
        </w:rPr>
        <w:t>CT</w:t>
      </w:r>
      <w:r>
        <w:rPr>
          <w:rFonts w:ascii="仿宋_GB2312" w:eastAsia="仿宋_GB2312" w:hAnsi="宋体" w:cs="仿宋_GB2312" w:hint="eastAsia"/>
          <w:sz w:val="32"/>
          <w:szCs w:val="32"/>
        </w:rPr>
        <w:t>或超声。对有合并症的高血压患者，进行相应的脑功能、心功能和肾功能检查。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（六）治疗方案的选择。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非药物治疗（生活方式干预）：减少钠盐摄入，增加钾盐摄入；控制体重；不吸烟；不过量饮酒；体育运动；减轻精神压力，保持心理平衡，规律及充足的睡眠。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高血压的药物治疗：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）常用降压药物包括钙通道阻滞剂、血管紧张素转换酶抑制剂（</w:t>
      </w:r>
      <w:r>
        <w:rPr>
          <w:rFonts w:ascii="仿宋_GB2312" w:eastAsia="仿宋_GB2312" w:cs="仿宋_GB2312"/>
          <w:sz w:val="32"/>
          <w:szCs w:val="32"/>
        </w:rPr>
        <w:t>ACEI</w:t>
      </w:r>
      <w:r>
        <w:rPr>
          <w:rFonts w:ascii="仿宋_GB2312" w:eastAsia="仿宋_GB2312" w:cs="仿宋_GB2312" w:hint="eastAsia"/>
          <w:sz w:val="32"/>
          <w:szCs w:val="32"/>
        </w:rPr>
        <w:t>）、血管紧张素受体阻滞剂（</w:t>
      </w:r>
      <w:r>
        <w:rPr>
          <w:rFonts w:ascii="仿宋_GB2312" w:eastAsia="仿宋_GB2312" w:cs="仿宋_GB2312"/>
          <w:sz w:val="32"/>
          <w:szCs w:val="32"/>
        </w:rPr>
        <w:t>ARB</w:t>
      </w:r>
      <w:r>
        <w:rPr>
          <w:rFonts w:ascii="仿宋_GB2312" w:eastAsia="仿宋_GB2312" w:cs="仿宋_GB2312" w:hint="eastAsia"/>
          <w:sz w:val="32"/>
          <w:szCs w:val="32"/>
        </w:rPr>
        <w:t>）、利尿剂和</w:t>
      </w:r>
      <w:r>
        <w:rPr>
          <w:rFonts w:ascii="仿宋_GB2312" w:eastAsia="仿宋_GB2312" w:hint="eastAsia"/>
          <w:sz w:val="32"/>
          <w:szCs w:val="32"/>
        </w:rPr>
        <w:t>β</w:t>
      </w:r>
      <w:r>
        <w:rPr>
          <w:rFonts w:ascii="仿宋_GB2312" w:eastAsia="仿宋_GB2312" w:cs="仿宋_GB2312" w:hint="eastAsia"/>
          <w:sz w:val="32"/>
          <w:szCs w:val="32"/>
        </w:rPr>
        <w:t>受体阻滞剂五类。此外，</w:t>
      </w:r>
      <w:r>
        <w:rPr>
          <w:rFonts w:ascii="仿宋_GB2312" w:eastAsia="仿宋_GB2312" w:hint="eastAsia"/>
          <w:sz w:val="32"/>
          <w:szCs w:val="32"/>
        </w:rPr>
        <w:t>α</w:t>
      </w:r>
      <w:r>
        <w:rPr>
          <w:rFonts w:ascii="仿宋_GB2312" w:eastAsia="仿宋_GB2312" w:cs="仿宋_GB2312"/>
          <w:sz w:val="32"/>
          <w:szCs w:val="32"/>
        </w:rPr>
        <w:t>-</w:t>
      </w:r>
      <w:r>
        <w:rPr>
          <w:rFonts w:ascii="仿宋_GB2312" w:eastAsia="仿宋_GB2312" w:cs="仿宋_GB2312" w:hint="eastAsia"/>
          <w:sz w:val="32"/>
          <w:szCs w:val="32"/>
        </w:rPr>
        <w:t>受体阻滞剂或其他种类降压药有时亦可应用于某些高血压人群。</w:t>
      </w:r>
    </w:p>
    <w:p w:rsidR="007E0424" w:rsidRDefault="00BB7FA1">
      <w:pPr>
        <w:autoSpaceDE w:val="0"/>
        <w:autoSpaceDN w:val="0"/>
        <w:adjustRightInd w:val="0"/>
        <w:snapToGrid w:val="0"/>
        <w:spacing w:line="360" w:lineRule="auto"/>
        <w:ind w:firstLineChars="160" w:firstLine="51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降压药物的联合应用：Ⅱ级高血压和（或）伴有多种危险因素、靶器官损害或临床疾患的人群，往往初始治疗即需要应用两种小剂量降压药物，以及由上述药物组成的固定配比复方制剂。如仍不能达到目标水平，可在原药基础上加量或可能需要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种，甚至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种以上降压药物。</w:t>
      </w:r>
    </w:p>
    <w:p w:rsidR="007E0424" w:rsidRDefault="00BB7FA1">
      <w:pPr>
        <w:autoSpaceDE w:val="0"/>
        <w:autoSpaceDN w:val="0"/>
        <w:adjustRightInd w:val="0"/>
        <w:snapToGrid w:val="0"/>
        <w:spacing w:line="360" w:lineRule="auto"/>
        <w:ind w:firstLineChars="160" w:firstLine="51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调脂治疗：首先应强调治疗性生活方式改变，当严格实施治疗性生活方式</w:t>
      </w:r>
      <w:r>
        <w:rPr>
          <w:rFonts w:ascii="仿宋_GB2312" w:eastAsia="仿宋_GB2312" w:cs="仿宋_GB2312"/>
          <w:sz w:val="32"/>
          <w:szCs w:val="32"/>
        </w:rPr>
        <w:t xml:space="preserve">3-4 </w:t>
      </w:r>
      <w:r>
        <w:rPr>
          <w:rFonts w:ascii="仿宋_GB2312" w:eastAsia="仿宋_GB2312" w:cs="仿宋_GB2312" w:hint="eastAsia"/>
          <w:sz w:val="32"/>
          <w:szCs w:val="32"/>
        </w:rPr>
        <w:t>月后，血脂水平不能达到目标值，则考虑药物治疗，根据血脂异常的类型选择药物种类，胆固醇升高为主的患者一般首选他汀类药物。</w:t>
      </w:r>
    </w:p>
    <w:p w:rsidR="007E0424" w:rsidRDefault="00BB7FA1">
      <w:pPr>
        <w:autoSpaceDE w:val="0"/>
        <w:autoSpaceDN w:val="0"/>
        <w:adjustRightInd w:val="0"/>
        <w:snapToGrid w:val="0"/>
        <w:spacing w:line="360" w:lineRule="auto"/>
        <w:ind w:firstLineChars="160" w:firstLine="51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抗血小板治疗：高血压伴糖尿病、心血管高风险者可用小剂量阿司匹林（</w:t>
      </w:r>
      <w:r>
        <w:rPr>
          <w:rFonts w:ascii="仿宋_GB2312" w:eastAsia="仿宋_GB2312" w:cs="仿宋_GB2312"/>
          <w:sz w:val="32"/>
          <w:szCs w:val="32"/>
        </w:rPr>
        <w:t>75mg</w:t>
      </w:r>
      <w:r>
        <w:rPr>
          <w:rFonts w:ascii="仿宋_GB2312" w:eastAsia="仿宋_GB2312" w:cs="仿宋_GB2312" w:hint="eastAsia"/>
          <w:sz w:val="32"/>
          <w:szCs w:val="32"/>
        </w:rPr>
        <w:t>～</w:t>
      </w:r>
      <w:r>
        <w:rPr>
          <w:rFonts w:ascii="仿宋_GB2312" w:eastAsia="仿宋_GB2312" w:cs="仿宋_GB2312"/>
          <w:sz w:val="32"/>
          <w:szCs w:val="32"/>
        </w:rPr>
        <w:t>100mg/d</w:t>
      </w:r>
      <w:r>
        <w:rPr>
          <w:rFonts w:ascii="仿宋_GB2312" w:eastAsia="仿宋_GB2312" w:cs="仿宋_GB2312" w:hint="eastAsia"/>
          <w:sz w:val="32"/>
          <w:szCs w:val="32"/>
        </w:rPr>
        <w:t>）进行一级预防。高血压伴缺血性心血管疾病可用小剂量阿司匹林（75mg～100mg/d）进行二级预防。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其他药物：伴随疾病的治疗药物等。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（七）预防性抗菌药物选择与使用时机。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无。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（八）手术日。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无。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lastRenderedPageBreak/>
        <w:t>（九）术后恢复。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无。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（十）出院标准。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血压水平得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到有效控制。</w:t>
      </w:r>
    </w:p>
    <w:p w:rsidR="007E0424" w:rsidRDefault="00BB7FA1">
      <w:pPr>
        <w:adjustRightInd w:val="0"/>
        <w:snapToGrid w:val="0"/>
        <w:spacing w:line="360" w:lineRule="auto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无其他需要继续住院的并发症。</w:t>
      </w:r>
    </w:p>
    <w:p w:rsidR="007E0424" w:rsidRDefault="00BB7FA1" w:rsidP="00C26244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（十一）变异及原因分析。</w:t>
      </w:r>
    </w:p>
    <w:p w:rsidR="007E0424" w:rsidRDefault="00BB7FA1"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发现有继发性高血压的病因。</w:t>
      </w:r>
    </w:p>
    <w:p w:rsidR="007E0424" w:rsidRDefault="00BB7FA1"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160" w:firstLine="5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病情危重。</w:t>
      </w:r>
    </w:p>
    <w:p w:rsidR="007E0424" w:rsidRDefault="007E0424">
      <w:pPr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</w:p>
    <w:p w:rsidR="00C26244" w:rsidRDefault="00C26244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</w:p>
    <w:p w:rsidR="00C26244" w:rsidRDefault="00C2624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7E0424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E0424" w:rsidRDefault="00BB7FA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C26244" w:rsidRPr="00C26244">
        <w:rPr>
          <w:rFonts w:ascii="黑体" w:eastAsia="黑体" w:hAnsi="黑体" w:cs="黑体" w:hint="eastAsia"/>
          <w:sz w:val="32"/>
          <w:szCs w:val="32"/>
        </w:rPr>
        <w:t>原发性高血压</w:t>
      </w:r>
      <w:r>
        <w:rPr>
          <w:rFonts w:ascii="黑体" w:eastAsia="黑体" w:hAnsi="黑体" w:cs="黑体" w:hint="eastAsia"/>
          <w:sz w:val="32"/>
          <w:szCs w:val="32"/>
        </w:rPr>
        <w:t>临床路径表单</w:t>
      </w:r>
    </w:p>
    <w:p w:rsidR="007E0424" w:rsidRDefault="00BB7FA1" w:rsidP="00C26244">
      <w:pPr>
        <w:ind w:left="1050" w:hangingChars="500" w:hanging="1050"/>
        <w:rPr>
          <w:rFonts w:ascii="宋体"/>
        </w:rPr>
      </w:pPr>
      <w:r>
        <w:rPr>
          <w:rFonts w:ascii="宋体" w:hAnsi="宋体" w:cs="宋体" w:hint="eastAsia"/>
        </w:rPr>
        <w:t>适用对象：第一诊断为原发性高血压（</w:t>
      </w:r>
      <w:r>
        <w:rPr>
          <w:rFonts w:ascii="宋体" w:hAnsi="宋体" w:cs="宋体"/>
        </w:rPr>
        <w:t>ICD</w:t>
      </w:r>
      <w:r>
        <w:rPr>
          <w:rFonts w:ascii="宋体" w:cs="宋体"/>
        </w:rPr>
        <w:t>-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>I10xx11</w:t>
      </w:r>
      <w:r>
        <w:rPr>
          <w:rFonts w:ascii="宋体" w:hAnsi="宋体" w:cs="宋体" w:hint="eastAsia"/>
        </w:rPr>
        <w:t>）；</w:t>
      </w:r>
    </w:p>
    <w:p w:rsidR="007E0424" w:rsidRDefault="00BB7FA1" w:rsidP="00C26244">
      <w:pPr>
        <w:rPr>
          <w:rFonts w:ascii="宋体"/>
          <w:u w:val="single"/>
        </w:rPr>
      </w:pPr>
      <w:r>
        <w:rPr>
          <w:rFonts w:ascii="宋体" w:hAnsi="宋体" w:cs="宋体" w:hint="eastAsia"/>
        </w:rPr>
        <w:t>患者姓名性别年龄门诊号住院号</w:t>
      </w:r>
    </w:p>
    <w:p w:rsidR="007E0424" w:rsidRPr="00C26244" w:rsidRDefault="00BB7FA1" w:rsidP="00C26244">
      <w:pPr>
        <w:ind w:left="1050" w:hangingChars="500" w:hanging="1050"/>
        <w:rPr>
          <w:rFonts w:ascii="黑体" w:eastAsia="黑体" w:hAnsi="黑体"/>
        </w:rPr>
      </w:pPr>
      <w:r>
        <w:rPr>
          <w:rFonts w:ascii="宋体" w:hAnsi="宋体" w:cs="宋体" w:hint="eastAsia"/>
        </w:rPr>
        <w:t>住院日期年月日出院日期年月日标准住院日</w:t>
      </w:r>
      <w:r>
        <w:rPr>
          <w:rFonts w:ascii="宋体" w:hAnsi="宋体" w:cs="宋体"/>
          <w:u w:val="single"/>
        </w:rPr>
        <w:t xml:space="preserve">  7-10 </w:t>
      </w:r>
      <w:r>
        <w:rPr>
          <w:rFonts w:ascii="宋体" w:hAnsi="宋体" w:cs="宋体" w:hint="eastAsia"/>
        </w:rPr>
        <w:t>天</w:t>
      </w:r>
    </w:p>
    <w:tbl>
      <w:tblPr>
        <w:tblW w:w="806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816"/>
        <w:gridCol w:w="2356"/>
        <w:gridCol w:w="2160"/>
      </w:tblGrid>
      <w:tr w:rsidR="007E0424" w:rsidRPr="00C26244" w:rsidTr="00C26244">
        <w:trPr>
          <w:cantSplit/>
          <w:trHeight w:val="625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2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住院第１天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  <w:u w:val="single"/>
              </w:rPr>
            </w:pPr>
            <w:r w:rsidRPr="00C26244">
              <w:rPr>
                <w:rFonts w:ascii="黑体" w:eastAsia="黑体" w:hAnsi="黑体" w:cs="宋体" w:hint="eastAsia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住院第３天</w:t>
            </w:r>
          </w:p>
        </w:tc>
      </w:tr>
      <w:tr w:rsidR="007E0424" w:rsidTr="00C26244">
        <w:trPr>
          <w:cantSplit/>
          <w:trHeight w:val="1147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诊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疗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工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作</w:t>
            </w:r>
          </w:p>
        </w:tc>
        <w:tc>
          <w:tcPr>
            <w:tcW w:w="2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完成病史采集与体格检查</w:t>
            </w:r>
          </w:p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监测血压、心率、呼吸、药物反应等情况</w:t>
            </w:r>
          </w:p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描记心电图，评价初始心电图</w:t>
            </w:r>
          </w:p>
          <w:p w:rsidR="007E0424" w:rsidRDefault="00BB7FA1">
            <w:pPr>
              <w:numPr>
                <w:ilvl w:val="0"/>
                <w:numId w:val="4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上级医师查房：危险性分层，靶器官损害和治疗效果评估，制订诊疗方案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完成病历及上级医师查房记录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高血压常规药物治疗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上级医师查房：评价靶器官损害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完成病历、病程记录、上级医师查房记录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监测血压、心率、呼吸、药物反应、药物副作用等情况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</w:rPr>
            </w:pPr>
            <w:r>
              <w:rPr>
                <w:rFonts w:hint="eastAsia"/>
              </w:rPr>
              <w:t>继续或调整高血压药物治疗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上级医师查房：评估治疗效果，修订诊疗方案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完成上级医师查房和病程记录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监测血压、心率、呼吸、药物反应、药物副作用等情况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继续和调整药物治疗</w:t>
            </w:r>
          </w:p>
        </w:tc>
      </w:tr>
      <w:tr w:rsidR="007E0424" w:rsidTr="00C26244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重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点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医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高血压常规护理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一级护理或二级护理</w:t>
            </w:r>
          </w:p>
          <w:p w:rsidR="007E0424" w:rsidRDefault="00BB7FA1">
            <w:pPr>
              <w:numPr>
                <w:ilvl w:val="0"/>
                <w:numId w:val="4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持续心电监测（必要时）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根据血压水平和危险分层酌情加用降压药物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阿司匹林（酌情）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调脂治疗：他汀类药物（酌情）</w:t>
            </w:r>
          </w:p>
          <w:p w:rsidR="007E0424" w:rsidRDefault="00BB7FA1">
            <w:pPr>
              <w:spacing w:line="26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描记“</w:t>
            </w:r>
            <w:r>
              <w:rPr>
                <w:rFonts w:ascii="宋体" w:hAnsi="宋体" w:cs="宋体"/>
                <w:color w:val="000000"/>
              </w:rPr>
              <w:t>18</w:t>
            </w:r>
            <w:r>
              <w:rPr>
                <w:rFonts w:ascii="宋体" w:hAnsi="宋体" w:cs="宋体" w:hint="eastAsia"/>
                <w:color w:val="000000"/>
              </w:rPr>
              <w:t>导联”心电图，胸部影像学检查</w:t>
            </w:r>
          </w:p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血常规、血糖、肝功能、肾功能、电解质、血脂四项、尿酸、尿常规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小时动态血压监测、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小时动态心电图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超声心动图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眼底检查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</w:t>
            </w:r>
            <w:r>
              <w:rPr>
                <w:rFonts w:ascii="宋体" w:hAnsi="宋体" w:cs="宋体" w:hint="eastAsia"/>
              </w:rPr>
              <w:t>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高血压常规护理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二级护理</w:t>
            </w:r>
          </w:p>
          <w:p w:rsidR="007E0424" w:rsidRDefault="00BB7FA1">
            <w:pPr>
              <w:numPr>
                <w:ilvl w:val="0"/>
                <w:numId w:val="4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持续心电监测（必要时）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降压药物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阿司匹林（酌情）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调脂治疗：他汀类药物（酌情）</w:t>
            </w:r>
          </w:p>
          <w:p w:rsidR="007E0424" w:rsidRDefault="00BB7FA1">
            <w:pPr>
              <w:spacing w:line="26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餐后血糖或糖化血红蛋白（酌情）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颈动脉超声（酌情）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ABI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>PWV</w:t>
            </w:r>
            <w:r>
              <w:rPr>
                <w:rFonts w:ascii="宋体" w:hAnsi="宋体" w:cs="宋体" w:hint="eastAsia"/>
              </w:rPr>
              <w:t>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肾、肾动脉</w:t>
            </w:r>
            <w:r>
              <w:rPr>
                <w:rFonts w:ascii="宋体" w:hAnsi="宋体" w:cs="宋体"/>
              </w:rPr>
              <w:t>CT</w:t>
            </w:r>
            <w:r>
              <w:rPr>
                <w:rFonts w:ascii="宋体" w:hAnsi="宋体" w:cs="宋体" w:hint="eastAsia"/>
              </w:rPr>
              <w:t>或超声（酌情）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</w:t>
            </w:r>
            <w:r>
              <w:rPr>
                <w:rFonts w:ascii="宋体" w:hAnsi="宋体" w:cs="宋体" w:hint="eastAsia"/>
              </w:rPr>
              <w:t>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高血压常规护理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二级护理</w:t>
            </w:r>
          </w:p>
          <w:p w:rsidR="007E0424" w:rsidRDefault="00BB7FA1">
            <w:pPr>
              <w:numPr>
                <w:ilvl w:val="0"/>
                <w:numId w:val="4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降压药物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阿司匹林（酌情）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调脂治疗：他汀类药物（酌情）</w:t>
            </w:r>
          </w:p>
          <w:p w:rsidR="007E0424" w:rsidRDefault="00BB7FA1">
            <w:pPr>
              <w:spacing w:line="26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hint="eastAsia"/>
              </w:rPr>
              <w:t>实验室检查异常指标复查</w:t>
            </w:r>
          </w:p>
        </w:tc>
      </w:tr>
      <w:tr w:rsidR="007E0424" w:rsidTr="00C26244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护理工作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numPr>
                <w:ilvl w:val="0"/>
                <w:numId w:val="3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协助患者或其家属完成办理“入院手续”等工作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静脉取血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配合医疗工作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生活与心理护理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根据患者病情和危险性分层指导患者的康复和锻炼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生活与心理护理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一级及二级预防宣教</w:t>
            </w:r>
          </w:p>
        </w:tc>
      </w:tr>
      <w:tr w:rsidR="007E0424" w:rsidTr="00C26244">
        <w:trPr>
          <w:cantSplit/>
          <w:trHeight w:val="34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424" w:rsidRPr="00C26244" w:rsidRDefault="00BB7FA1">
            <w:pPr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变异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BB7FA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</w:tr>
      <w:tr w:rsidR="007E0424" w:rsidTr="00C26244">
        <w:trPr>
          <w:cantSplit/>
          <w:trHeight w:val="68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424" w:rsidRPr="00C26244" w:rsidRDefault="00BB7FA1">
            <w:pPr>
              <w:ind w:leftChars="-75" w:left="-158" w:firstLineChars="78" w:firstLine="164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护士</w:t>
            </w:r>
          </w:p>
          <w:p w:rsidR="007E0424" w:rsidRPr="00C26244" w:rsidRDefault="00BB7FA1">
            <w:pPr>
              <w:ind w:leftChars="-75" w:left="-158" w:firstLineChars="78" w:firstLine="164"/>
              <w:jc w:val="center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rPr>
                <w:rFonts w:ascii="宋体" w:cs="宋体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ind w:leftChars="-82" w:left="-170" w:hangingChars="1" w:hanging="2"/>
              <w:jc w:val="center"/>
              <w:rPr>
                <w:rFonts w:ascii="宋体" w:cs="宋体"/>
                <w:spacing w:val="-20"/>
              </w:rPr>
            </w:pPr>
          </w:p>
        </w:tc>
      </w:tr>
      <w:tr w:rsidR="007E0424" w:rsidTr="00C26244">
        <w:trPr>
          <w:trHeight w:val="64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424" w:rsidRPr="00C26244" w:rsidRDefault="00BB7FA1">
            <w:pPr>
              <w:ind w:rightChars="-45" w:right="-94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医师</w:t>
            </w:r>
          </w:p>
          <w:p w:rsidR="007E0424" w:rsidRPr="00C26244" w:rsidRDefault="00BB7FA1">
            <w:pPr>
              <w:ind w:rightChars="-45" w:right="-94"/>
              <w:rPr>
                <w:rFonts w:ascii="黑体" w:eastAsia="黑体" w:hAnsi="黑体" w:cs="宋体"/>
              </w:rPr>
            </w:pPr>
            <w:r w:rsidRPr="00C26244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rPr>
                <w:rFonts w:ascii="宋体" w:cs="宋体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rPr>
                <w:rFonts w:ascii="宋体" w:cs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24" w:rsidRDefault="007E0424">
            <w:pPr>
              <w:rPr>
                <w:rFonts w:ascii="宋体" w:cs="宋体"/>
              </w:rPr>
            </w:pPr>
          </w:p>
        </w:tc>
      </w:tr>
    </w:tbl>
    <w:p w:rsidR="007E0424" w:rsidRDefault="00BB7FA1">
      <w:r>
        <w:br w:type="page"/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14"/>
        <w:gridCol w:w="2290"/>
        <w:gridCol w:w="2390"/>
      </w:tblGrid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住院第</w:t>
            </w:r>
            <w:r w:rsidRPr="00C26244">
              <w:rPr>
                <w:rFonts w:ascii="黑体" w:eastAsia="黑体" w:hAnsi="黑体" w:cs="宋体"/>
              </w:rPr>
              <w:t>4-6</w:t>
            </w:r>
            <w:r w:rsidRPr="00C26244">
              <w:rPr>
                <w:rFonts w:ascii="黑体" w:eastAsia="黑体" w:hAnsi="黑体" w:cs="宋体" w:hint="eastAsia"/>
              </w:rPr>
              <w:t>天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/>
                <w:u w:val="single"/>
              </w:rPr>
            </w:pPr>
            <w:r w:rsidRPr="00C26244">
              <w:rPr>
                <w:rFonts w:ascii="黑体" w:eastAsia="黑体" w:hAnsi="黑体" w:cs="宋体" w:hint="eastAsia"/>
              </w:rPr>
              <w:t>住院第</w:t>
            </w:r>
            <w:r w:rsidRPr="00C26244">
              <w:rPr>
                <w:rFonts w:ascii="黑体" w:eastAsia="黑体" w:hAnsi="黑体" w:cs="宋体"/>
              </w:rPr>
              <w:t>7-9</w:t>
            </w:r>
            <w:r w:rsidRPr="00C26244">
              <w:rPr>
                <w:rFonts w:ascii="黑体" w:eastAsia="黑体" w:hAnsi="黑体" w:cs="宋体" w:hint="eastAsia"/>
              </w:rPr>
              <w:t>天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住院第</w:t>
            </w:r>
            <w:r w:rsidRPr="00C26244">
              <w:rPr>
                <w:rFonts w:ascii="黑体" w:eastAsia="黑体" w:hAnsi="黑体" w:cs="宋体"/>
              </w:rPr>
              <w:t>8-10</w:t>
            </w:r>
            <w:r w:rsidRPr="00C26244">
              <w:rPr>
                <w:rFonts w:ascii="黑体" w:eastAsia="黑体" w:hAnsi="黑体" w:cs="宋体" w:hint="eastAsia"/>
              </w:rPr>
              <w:t>天</w:t>
            </w:r>
          </w:p>
          <w:p w:rsidR="007E0424" w:rsidRPr="00C26244" w:rsidRDefault="00BB7FA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（出院日）</w:t>
            </w: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诊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疗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工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上级医师查房：危险分层与靶器官损害的评估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测血压、心率、呼吸、药物反应、药物副作用等情况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确定下一步治疗方案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完成上级医师查房记录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上级医师查房与诊疗评估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完成上级医师查房记录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治疗效果、预后和出院评估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确定患者是否可以出院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康复和宣教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如果患者可以出院：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通知出院处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通知患者及其家属出院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向患者交待出院后注意事项，预约复诊日期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将“出院总结”交给患者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如果患者不能出院，请在“病程记录”中说明原因和继续治疗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一级与二级预防的方案</w:t>
            </w: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重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点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医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长期医嘱：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高血压护理常规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二级护理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根据临床评估酌情调整降压药物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阿司匹林（酌情）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调脂治疗：他汀类药物（酌情）</w:t>
            </w:r>
          </w:p>
          <w:p w:rsidR="007E0424" w:rsidRDefault="00BB7FA1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临时医嘱：</w:t>
            </w: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长期医嘱：</w:t>
            </w:r>
          </w:p>
          <w:p w:rsidR="007E0424" w:rsidRDefault="00BB7FA1">
            <w:pPr>
              <w:numPr>
                <w:ilvl w:val="0"/>
                <w:numId w:val="6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高血压护理常规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二级护理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降压药物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阿司匹林（酌情）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调脂治疗：他汀类药物（酌情）</w:t>
            </w:r>
          </w:p>
          <w:p w:rsidR="007E0424" w:rsidRDefault="00BB7FA1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临时医嘱：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心电图、肝功能、肾功能、电解质、血常规、尿常规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hint="eastAsia"/>
              </w:rPr>
              <w:t>其他异常指标的复查（酌情）</w:t>
            </w:r>
            <w:bookmarkStart w:id="1" w:name="_GoBack"/>
            <w:bookmarkEnd w:id="1"/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出院医嘱：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低盐低脂饮食、适当运动、改善生活方式（戒烟）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监测血压心率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控制高血脂、糖尿病等危险因素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出院带药（根据情况）：他汀类药物、抗血小板药物、β受体阻滞剂、</w:t>
            </w:r>
            <w:r>
              <w:rPr>
                <w:rFonts w:ascii="宋体" w:hAnsi="宋体" w:cs="宋体"/>
                <w:color w:val="000000"/>
              </w:rPr>
              <w:t>ACEI</w:t>
            </w:r>
            <w:r>
              <w:rPr>
                <w:rFonts w:ascii="宋体" w:hAnsi="宋体" w:cs="宋体" w:hint="eastAsia"/>
                <w:color w:val="000000"/>
              </w:rPr>
              <w:t>、钙拮抗剂、利尿剂等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定期复查</w:t>
            </w:r>
          </w:p>
          <w:p w:rsidR="007E0424" w:rsidRDefault="007E0424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心理与生活护理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根据患者病情和危险性分层，指导并监督患者的治疗与活动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一级及二级预防教育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心理与生活护理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根据患者病情和危险性分层，指导并监督患者的治疗与活动</w:t>
            </w:r>
          </w:p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一级及二级预防教育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出院准备指导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424" w:rsidRDefault="00BB7FA1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帮助患者办理出院手续、交费等事项</w:t>
            </w:r>
          </w:p>
          <w:p w:rsidR="007E0424" w:rsidRDefault="00BB7FA1">
            <w:pPr>
              <w:numPr>
                <w:ilvl w:val="0"/>
                <w:numId w:val="5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出院指导</w:t>
            </w: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BB7FA1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BB7FA1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BB7FA1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护士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  <w:tr w:rsidR="007E0424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医师</w:t>
            </w:r>
          </w:p>
          <w:p w:rsidR="007E0424" w:rsidRPr="00C26244" w:rsidRDefault="00BB7FA1">
            <w:pPr>
              <w:spacing w:line="260" w:lineRule="exact"/>
              <w:rPr>
                <w:rFonts w:ascii="黑体" w:eastAsia="黑体" w:hAnsi="黑体"/>
              </w:rPr>
            </w:pPr>
            <w:r w:rsidRPr="00C26244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424" w:rsidRDefault="007E0424"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</w:tbl>
    <w:p w:rsidR="007E0424" w:rsidRDefault="007E0424">
      <w:pPr>
        <w:widowControl/>
        <w:jc w:val="left"/>
        <w:rPr>
          <w:rFonts w:ascii="宋体" w:cs="宋体"/>
          <w:b/>
          <w:bCs/>
          <w:kern w:val="44"/>
          <w:sz w:val="44"/>
          <w:szCs w:val="44"/>
        </w:rPr>
      </w:pPr>
    </w:p>
    <w:sectPr w:rsidR="007E0424" w:rsidSect="007E04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37" w:rsidRDefault="00783D37" w:rsidP="007E0424">
      <w:r>
        <w:separator/>
      </w:r>
    </w:p>
  </w:endnote>
  <w:endnote w:type="continuationSeparator" w:id="1">
    <w:p w:rsidR="00783D37" w:rsidRDefault="00783D37" w:rsidP="007E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24" w:rsidRDefault="00C01BBB">
    <w:pPr>
      <w:pStyle w:val="a5"/>
      <w:jc w:val="center"/>
      <w:rPr>
        <w:rFonts w:cs="Times New Roman"/>
      </w:rPr>
    </w:pPr>
    <w:r w:rsidRPr="00C01BBB">
      <w:fldChar w:fldCharType="begin"/>
    </w:r>
    <w:r w:rsidR="00BB7FA1">
      <w:instrText xml:space="preserve"> PAGE   \* MERGEFORMAT </w:instrText>
    </w:r>
    <w:r w:rsidRPr="00C01BBB">
      <w:fldChar w:fldCharType="separate"/>
    </w:r>
    <w:r w:rsidR="00C26244" w:rsidRPr="00C26244">
      <w:rPr>
        <w:noProof/>
        <w:lang w:val="zh-CN"/>
      </w:rPr>
      <w:t>1</w:t>
    </w:r>
    <w:r>
      <w:rPr>
        <w:lang w:val="zh-CN"/>
      </w:rPr>
      <w:fldChar w:fldCharType="end"/>
    </w:r>
  </w:p>
  <w:p w:rsidR="007E0424" w:rsidRDefault="007E0424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37" w:rsidRDefault="00783D37" w:rsidP="007E0424">
      <w:r>
        <w:separator/>
      </w:r>
    </w:p>
  </w:footnote>
  <w:footnote w:type="continuationSeparator" w:id="1">
    <w:p w:rsidR="00783D37" w:rsidRDefault="00783D37" w:rsidP="007E0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9FA"/>
    <w:multiLevelType w:val="multilevel"/>
    <w:tmpl w:val="234A79FA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ED54424"/>
    <w:multiLevelType w:val="multilevel"/>
    <w:tmpl w:val="3ED54424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0D42EF"/>
    <w:multiLevelType w:val="multilevel"/>
    <w:tmpl w:val="410D42EF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C973115"/>
    <w:multiLevelType w:val="multilevel"/>
    <w:tmpl w:val="6C973115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6DB0FE8"/>
    <w:multiLevelType w:val="multilevel"/>
    <w:tmpl w:val="76DB0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B61C82"/>
    <w:multiLevelType w:val="multilevel"/>
    <w:tmpl w:val="7CB61C8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7" w:hanging="567"/>
      </w:pPr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1D"/>
    <w:rsid w:val="000144A1"/>
    <w:rsid w:val="0001635B"/>
    <w:rsid w:val="000165A7"/>
    <w:rsid w:val="00023128"/>
    <w:rsid w:val="00047851"/>
    <w:rsid w:val="000543F1"/>
    <w:rsid w:val="00090A4B"/>
    <w:rsid w:val="000A698E"/>
    <w:rsid w:val="000C7B7C"/>
    <w:rsid w:val="000E5F03"/>
    <w:rsid w:val="00120CC6"/>
    <w:rsid w:val="001347D7"/>
    <w:rsid w:val="00144C47"/>
    <w:rsid w:val="001511CD"/>
    <w:rsid w:val="00154C44"/>
    <w:rsid w:val="00172447"/>
    <w:rsid w:val="001816A6"/>
    <w:rsid w:val="001B4373"/>
    <w:rsid w:val="001C0EB9"/>
    <w:rsid w:val="001C281E"/>
    <w:rsid w:val="001E2712"/>
    <w:rsid w:val="00244553"/>
    <w:rsid w:val="002563C3"/>
    <w:rsid w:val="00276109"/>
    <w:rsid w:val="00296920"/>
    <w:rsid w:val="002C2E06"/>
    <w:rsid w:val="002D5247"/>
    <w:rsid w:val="003227FE"/>
    <w:rsid w:val="003274C2"/>
    <w:rsid w:val="00353E09"/>
    <w:rsid w:val="00356C3D"/>
    <w:rsid w:val="00362A9A"/>
    <w:rsid w:val="00390C17"/>
    <w:rsid w:val="003B300B"/>
    <w:rsid w:val="003F55BC"/>
    <w:rsid w:val="00400ACF"/>
    <w:rsid w:val="00403A8B"/>
    <w:rsid w:val="00416633"/>
    <w:rsid w:val="00432C48"/>
    <w:rsid w:val="00446D4F"/>
    <w:rsid w:val="004626D9"/>
    <w:rsid w:val="00472B1F"/>
    <w:rsid w:val="004A6A95"/>
    <w:rsid w:val="004B57ED"/>
    <w:rsid w:val="005107E7"/>
    <w:rsid w:val="00566E64"/>
    <w:rsid w:val="00571A16"/>
    <w:rsid w:val="00572041"/>
    <w:rsid w:val="005B090D"/>
    <w:rsid w:val="005D4720"/>
    <w:rsid w:val="005D5748"/>
    <w:rsid w:val="005E7004"/>
    <w:rsid w:val="00605696"/>
    <w:rsid w:val="006263BA"/>
    <w:rsid w:val="00626C5D"/>
    <w:rsid w:val="00632F65"/>
    <w:rsid w:val="00637A6D"/>
    <w:rsid w:val="00646B61"/>
    <w:rsid w:val="00655805"/>
    <w:rsid w:val="00683B50"/>
    <w:rsid w:val="00685E5D"/>
    <w:rsid w:val="00694143"/>
    <w:rsid w:val="006D091F"/>
    <w:rsid w:val="006F06A3"/>
    <w:rsid w:val="00711B94"/>
    <w:rsid w:val="00717B3D"/>
    <w:rsid w:val="00724A2C"/>
    <w:rsid w:val="00745417"/>
    <w:rsid w:val="007543C8"/>
    <w:rsid w:val="0078311B"/>
    <w:rsid w:val="00783D37"/>
    <w:rsid w:val="0078481C"/>
    <w:rsid w:val="00786683"/>
    <w:rsid w:val="00791258"/>
    <w:rsid w:val="007922C5"/>
    <w:rsid w:val="00794352"/>
    <w:rsid w:val="00795BF5"/>
    <w:rsid w:val="00797679"/>
    <w:rsid w:val="007B6E13"/>
    <w:rsid w:val="007C1AC4"/>
    <w:rsid w:val="007C364E"/>
    <w:rsid w:val="007C5139"/>
    <w:rsid w:val="007D3F58"/>
    <w:rsid w:val="007E0424"/>
    <w:rsid w:val="008031E3"/>
    <w:rsid w:val="0082630D"/>
    <w:rsid w:val="00826FC5"/>
    <w:rsid w:val="00836118"/>
    <w:rsid w:val="00866545"/>
    <w:rsid w:val="00874103"/>
    <w:rsid w:val="008867EC"/>
    <w:rsid w:val="00890E9C"/>
    <w:rsid w:val="008A2F78"/>
    <w:rsid w:val="008A7B97"/>
    <w:rsid w:val="008B117C"/>
    <w:rsid w:val="008C47E1"/>
    <w:rsid w:val="00915C83"/>
    <w:rsid w:val="009361FA"/>
    <w:rsid w:val="00940D04"/>
    <w:rsid w:val="00953B44"/>
    <w:rsid w:val="00956DF6"/>
    <w:rsid w:val="00957B0D"/>
    <w:rsid w:val="00971957"/>
    <w:rsid w:val="009747CB"/>
    <w:rsid w:val="0098162C"/>
    <w:rsid w:val="00991228"/>
    <w:rsid w:val="009A2C32"/>
    <w:rsid w:val="009B23EF"/>
    <w:rsid w:val="009B719F"/>
    <w:rsid w:val="009B74B4"/>
    <w:rsid w:val="009C2A71"/>
    <w:rsid w:val="009D596E"/>
    <w:rsid w:val="009E7DB5"/>
    <w:rsid w:val="009F0451"/>
    <w:rsid w:val="009F4CD0"/>
    <w:rsid w:val="00A04466"/>
    <w:rsid w:val="00A40691"/>
    <w:rsid w:val="00A6687A"/>
    <w:rsid w:val="00A76EA8"/>
    <w:rsid w:val="00A7723F"/>
    <w:rsid w:val="00A81EC3"/>
    <w:rsid w:val="00A95F15"/>
    <w:rsid w:val="00AA4945"/>
    <w:rsid w:val="00AA50A3"/>
    <w:rsid w:val="00AA571E"/>
    <w:rsid w:val="00AE437B"/>
    <w:rsid w:val="00AF2885"/>
    <w:rsid w:val="00AF6FF6"/>
    <w:rsid w:val="00B13B85"/>
    <w:rsid w:val="00B2796F"/>
    <w:rsid w:val="00B36FE8"/>
    <w:rsid w:val="00B54C57"/>
    <w:rsid w:val="00BA0EBF"/>
    <w:rsid w:val="00BA242F"/>
    <w:rsid w:val="00BA2B7A"/>
    <w:rsid w:val="00BB7279"/>
    <w:rsid w:val="00BB7915"/>
    <w:rsid w:val="00BB7FA1"/>
    <w:rsid w:val="00BC05B8"/>
    <w:rsid w:val="00BC2CCF"/>
    <w:rsid w:val="00BD1EEF"/>
    <w:rsid w:val="00BD549D"/>
    <w:rsid w:val="00BF3E61"/>
    <w:rsid w:val="00C01BBB"/>
    <w:rsid w:val="00C07FC4"/>
    <w:rsid w:val="00C12A1C"/>
    <w:rsid w:val="00C26244"/>
    <w:rsid w:val="00C71902"/>
    <w:rsid w:val="00C844DB"/>
    <w:rsid w:val="00C87593"/>
    <w:rsid w:val="00C91D3A"/>
    <w:rsid w:val="00CA04E1"/>
    <w:rsid w:val="00CA1909"/>
    <w:rsid w:val="00CC2494"/>
    <w:rsid w:val="00CD54D9"/>
    <w:rsid w:val="00CF7363"/>
    <w:rsid w:val="00D3335E"/>
    <w:rsid w:val="00D37825"/>
    <w:rsid w:val="00D4084E"/>
    <w:rsid w:val="00D40D5F"/>
    <w:rsid w:val="00D70E41"/>
    <w:rsid w:val="00D766C2"/>
    <w:rsid w:val="00D9215D"/>
    <w:rsid w:val="00DA09E1"/>
    <w:rsid w:val="00DA24FF"/>
    <w:rsid w:val="00DB14C5"/>
    <w:rsid w:val="00DB2D2A"/>
    <w:rsid w:val="00DC3DCF"/>
    <w:rsid w:val="00DD3D1C"/>
    <w:rsid w:val="00DD67F8"/>
    <w:rsid w:val="00DE1CD6"/>
    <w:rsid w:val="00E04F7A"/>
    <w:rsid w:val="00E14385"/>
    <w:rsid w:val="00E160A0"/>
    <w:rsid w:val="00E170B1"/>
    <w:rsid w:val="00E27295"/>
    <w:rsid w:val="00EB3331"/>
    <w:rsid w:val="00EF6193"/>
    <w:rsid w:val="00F24779"/>
    <w:rsid w:val="00F312D4"/>
    <w:rsid w:val="00F50FAA"/>
    <w:rsid w:val="00F5541D"/>
    <w:rsid w:val="00F55D49"/>
    <w:rsid w:val="00F60C00"/>
    <w:rsid w:val="00F71612"/>
    <w:rsid w:val="00F73F8B"/>
    <w:rsid w:val="00F74F88"/>
    <w:rsid w:val="00F945CD"/>
    <w:rsid w:val="00FB14F2"/>
    <w:rsid w:val="00FC292D"/>
    <w:rsid w:val="00FC2F69"/>
    <w:rsid w:val="00FF3578"/>
    <w:rsid w:val="012D148B"/>
    <w:rsid w:val="4FCF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E0424"/>
    <w:pPr>
      <w:keepNext/>
      <w:keepLines/>
      <w:widowControl/>
      <w:numPr>
        <w:numId w:val="1"/>
      </w:numPr>
      <w:spacing w:beforeLines="250" w:afterLines="300"/>
      <w:jc w:val="center"/>
      <w:outlineLvl w:val="0"/>
    </w:pPr>
    <w:rPr>
      <w:b/>
      <w:bCs/>
      <w:kern w:val="44"/>
      <w:sz w:val="56"/>
      <w:szCs w:val="56"/>
    </w:rPr>
  </w:style>
  <w:style w:type="paragraph" w:styleId="2">
    <w:name w:val="heading 2"/>
    <w:basedOn w:val="a"/>
    <w:next w:val="a"/>
    <w:link w:val="2Char"/>
    <w:uiPriority w:val="99"/>
    <w:qFormat/>
    <w:rsid w:val="007E0424"/>
    <w:pPr>
      <w:keepNext/>
      <w:keepLines/>
      <w:numPr>
        <w:ilvl w:val="1"/>
        <w:numId w:val="1"/>
      </w:numPr>
      <w:spacing w:before="260" w:after="260" w:line="416" w:lineRule="atLeast"/>
      <w:ind w:firstLine="0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E0424"/>
    <w:pPr>
      <w:keepNext/>
      <w:keepLines/>
      <w:widowControl/>
      <w:numPr>
        <w:ilvl w:val="2"/>
        <w:numId w:val="1"/>
      </w:numPr>
      <w:spacing w:line="720" w:lineRule="auto"/>
      <w:jc w:val="center"/>
      <w:outlineLvl w:val="2"/>
    </w:pPr>
    <w:rPr>
      <w:rFonts w:ascii="Arial" w:eastAsia="黑体" w:hAnsi="Arial" w:cs="Arial"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7E0424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E0424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E0424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E0424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E0424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E0424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7E0424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7E042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E042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7E0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0">
    <w:name w:val="toc 1"/>
    <w:basedOn w:val="a"/>
    <w:next w:val="a"/>
    <w:uiPriority w:val="99"/>
    <w:semiHidden/>
    <w:rsid w:val="007E0424"/>
  </w:style>
  <w:style w:type="character" w:styleId="a7">
    <w:name w:val="Hyperlink"/>
    <w:basedOn w:val="a0"/>
    <w:uiPriority w:val="99"/>
    <w:qFormat/>
    <w:rsid w:val="007E0424"/>
    <w:rPr>
      <w:color w:val="0000FF"/>
      <w:u w:val="single"/>
    </w:rPr>
  </w:style>
  <w:style w:type="character" w:styleId="a8">
    <w:name w:val="annotation reference"/>
    <w:basedOn w:val="a0"/>
    <w:uiPriority w:val="99"/>
    <w:unhideWhenUsed/>
    <w:rsid w:val="007E0424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7E0424"/>
    <w:rPr>
      <w:rFonts w:ascii="Times New Roman" w:eastAsia="宋体" w:hAnsi="Times New Roman" w:cs="Times New Roman"/>
      <w:b/>
      <w:bCs/>
      <w:kern w:val="44"/>
      <w:sz w:val="44"/>
      <w:szCs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locked/>
    <w:rsid w:val="007E0424"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7E0424"/>
    <w:rPr>
      <w:rFonts w:ascii="Arial" w:eastAsia="黑体" w:hAnsi="Arial" w:cs="Arial"/>
      <w:sz w:val="32"/>
      <w:szCs w:val="32"/>
      <w:lang w:val="en-US" w:eastAsia="zh-CN"/>
    </w:rPr>
  </w:style>
  <w:style w:type="character" w:customStyle="1" w:styleId="4Char">
    <w:name w:val="标题 4 Char"/>
    <w:basedOn w:val="a0"/>
    <w:link w:val="4"/>
    <w:uiPriority w:val="99"/>
    <w:locked/>
    <w:rsid w:val="007E0424"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7E0424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sid w:val="007E0424"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locked/>
    <w:rsid w:val="007E0424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locked/>
    <w:rsid w:val="007E0424"/>
    <w:rPr>
      <w:rFonts w:ascii="Arial" w:eastAsia="黑体" w:hAnsi="Arial" w:cs="Arial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locked/>
    <w:rsid w:val="007E0424"/>
    <w:rPr>
      <w:rFonts w:ascii="Arial" w:eastAsia="黑体" w:hAnsi="Arial" w:cs="Arial"/>
      <w:kern w:val="0"/>
      <w:sz w:val="21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7E042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sid w:val="007E0424"/>
    <w:rPr>
      <w:sz w:val="18"/>
      <w:szCs w:val="18"/>
    </w:rPr>
  </w:style>
  <w:style w:type="paragraph" w:customStyle="1" w:styleId="11">
    <w:name w:val="列出段落1"/>
    <w:basedOn w:val="a"/>
    <w:uiPriority w:val="99"/>
    <w:qFormat/>
    <w:rsid w:val="007E0424"/>
    <w:pPr>
      <w:ind w:firstLineChars="200" w:firstLine="420"/>
    </w:pPr>
  </w:style>
  <w:style w:type="paragraph" w:customStyle="1" w:styleId="p1">
    <w:name w:val="p1"/>
    <w:basedOn w:val="a"/>
    <w:uiPriority w:val="99"/>
    <w:rsid w:val="007E0424"/>
    <w:pPr>
      <w:widowControl/>
      <w:shd w:val="clear" w:color="auto" w:fill="FFFFFF"/>
      <w:jc w:val="left"/>
    </w:pPr>
    <w:rPr>
      <w:rFonts w:ascii="Arial" w:hAnsi="Arial" w:cs="Arial"/>
      <w:color w:val="333333"/>
      <w:kern w:val="0"/>
    </w:rPr>
  </w:style>
  <w:style w:type="character" w:customStyle="1" w:styleId="s2">
    <w:name w:val="s2"/>
    <w:basedOn w:val="a0"/>
    <w:uiPriority w:val="99"/>
    <w:rsid w:val="007E0424"/>
    <w:rPr>
      <w:color w:val="auto"/>
    </w:rPr>
  </w:style>
  <w:style w:type="character" w:customStyle="1" w:styleId="s1">
    <w:name w:val="s1"/>
    <w:basedOn w:val="a0"/>
    <w:uiPriority w:val="99"/>
    <w:rsid w:val="007E0424"/>
  </w:style>
  <w:style w:type="character" w:customStyle="1" w:styleId="Char">
    <w:name w:val="批注框文本 Char"/>
    <w:basedOn w:val="a0"/>
    <w:link w:val="a4"/>
    <w:uiPriority w:val="99"/>
    <w:semiHidden/>
    <w:qFormat/>
    <w:rsid w:val="007E042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</Words>
  <Characters>3038</Characters>
  <Application>Microsoft Office Word</Application>
  <DocSecurity>0</DocSecurity>
  <Lines>25</Lines>
  <Paragraphs>7</Paragraphs>
  <ScaleCrop>false</ScaleCrop>
  <Company>Hewlett-Packard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79</cp:revision>
  <dcterms:created xsi:type="dcterms:W3CDTF">2017-03-26T11:45:00Z</dcterms:created>
  <dcterms:modified xsi:type="dcterms:W3CDTF">2017-05-12T08:22:00Z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