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E5" w:rsidRPr="00657DB4" w:rsidRDefault="00AF5883" w:rsidP="00657DB4">
      <w:pPr>
        <w:spacing w:line="620" w:lineRule="exact"/>
        <w:ind w:leftChars="200" w:left="420"/>
        <w:jc w:val="center"/>
        <w:outlineLvl w:val="0"/>
        <w:rPr>
          <w:rFonts w:ascii="宋体" w:eastAsia="宋体" w:hAnsi="宋体"/>
          <w:b/>
          <w:sz w:val="44"/>
          <w:szCs w:val="28"/>
        </w:rPr>
      </w:pPr>
      <w:bookmarkStart w:id="0" w:name="_GoBack"/>
      <w:bookmarkEnd w:id="0"/>
      <w:r w:rsidRPr="00657DB4">
        <w:rPr>
          <w:rFonts w:ascii="宋体" w:eastAsia="宋体" w:hAnsi="宋体" w:hint="eastAsia"/>
          <w:b/>
          <w:sz w:val="44"/>
          <w:szCs w:val="28"/>
        </w:rPr>
        <w:t>胃穿孔</w:t>
      </w:r>
      <w:r w:rsidRPr="00657DB4">
        <w:rPr>
          <w:rFonts w:ascii="宋体" w:eastAsia="宋体" w:hAnsi="宋体"/>
          <w:b/>
          <w:sz w:val="44"/>
          <w:szCs w:val="28"/>
        </w:rPr>
        <w:t>临床路径</w:t>
      </w:r>
    </w:p>
    <w:p w:rsidR="008511E5" w:rsidRPr="00657DB4" w:rsidRDefault="00AF5883" w:rsidP="00657DB4">
      <w:pPr>
        <w:spacing w:line="620" w:lineRule="exact"/>
        <w:ind w:leftChars="200" w:left="420"/>
        <w:jc w:val="center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（2017年版）</w:t>
      </w:r>
    </w:p>
    <w:p w:rsidR="008511E5" w:rsidRPr="00657DB4" w:rsidRDefault="007D0376" w:rsidP="00657DB4">
      <w:pPr>
        <w:numPr>
          <w:ilvl w:val="0"/>
          <w:numId w:val="1"/>
        </w:numPr>
        <w:spacing w:line="620" w:lineRule="exact"/>
        <w:ind w:leftChars="200" w:left="1140"/>
        <w:outlineLvl w:val="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胃穿孔临床路径</w:t>
      </w:r>
      <w:r w:rsidR="00AF5883" w:rsidRPr="00657DB4">
        <w:rPr>
          <w:rFonts w:ascii="黑体" w:eastAsia="黑体" w:hAnsi="黑体" w:hint="eastAsia"/>
          <w:sz w:val="32"/>
          <w:szCs w:val="28"/>
        </w:rPr>
        <w:t>标准住院流程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bookmarkStart w:id="1" w:name="OLE_LINK16"/>
      <w:r w:rsidRPr="00657DB4">
        <w:rPr>
          <w:rFonts w:ascii="楷体_GB2312" w:eastAsia="楷体_GB2312" w:hAnsi="宋体" w:hint="eastAsia"/>
          <w:b/>
          <w:sz w:val="32"/>
          <w:szCs w:val="28"/>
        </w:rPr>
        <w:t>适用对象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pStyle w:val="a4"/>
        <w:widowControl/>
        <w:pBdr>
          <w:bottom w:val="single" w:sz="6" w:space="0" w:color="DADADA"/>
        </w:pBdr>
        <w:shd w:val="clear" w:color="auto" w:fill="FFFFFF"/>
        <w:spacing w:before="75" w:beforeAutospacing="0" w:afterAutospacing="0" w:line="620" w:lineRule="exact"/>
        <w:ind w:leftChars="200" w:left="420"/>
        <w:rPr>
          <w:rFonts w:ascii="仿宋_GB2312" w:eastAsia="仿宋_GB2312" w:hAnsi="宋体" w:cstheme="minorBidi"/>
          <w:kern w:val="2"/>
          <w:sz w:val="32"/>
          <w:szCs w:val="28"/>
        </w:rPr>
      </w:pPr>
      <w:r w:rsidRPr="00657DB4">
        <w:rPr>
          <w:rFonts w:ascii="仿宋_GB2312" w:eastAsia="仿宋_GB2312" w:hAnsi="宋体" w:cstheme="minorBidi" w:hint="eastAsia"/>
          <w:kern w:val="2"/>
          <w:sz w:val="32"/>
          <w:szCs w:val="28"/>
        </w:rPr>
        <w:t>第一诊断为</w:t>
      </w:r>
      <w:bookmarkStart w:id="2" w:name="OLE_LINK3"/>
      <w:r w:rsidRPr="00657DB4">
        <w:rPr>
          <w:rFonts w:ascii="仿宋_GB2312" w:eastAsia="仿宋_GB2312" w:hAnsi="宋体" w:cstheme="minorBidi" w:hint="eastAsia"/>
          <w:kern w:val="2"/>
          <w:sz w:val="32"/>
          <w:szCs w:val="28"/>
        </w:rPr>
        <w:t>胃穿孔</w:t>
      </w:r>
      <w:bookmarkEnd w:id="2"/>
      <w:r w:rsidRPr="00657DB4">
        <w:rPr>
          <w:rFonts w:ascii="仿宋_GB2312" w:eastAsia="仿宋_GB2312" w:hAnsi="宋体" w:cstheme="minorBidi" w:hint="eastAsia"/>
          <w:kern w:val="2"/>
          <w:sz w:val="32"/>
          <w:szCs w:val="28"/>
        </w:rPr>
        <w:t>ICD-10：K25.151</w:t>
      </w:r>
    </w:p>
    <w:bookmarkEnd w:id="1"/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诊断依据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pStyle w:val="1"/>
        <w:spacing w:line="620" w:lineRule="exact"/>
        <w:ind w:leftChars="200" w:left="420" w:firstLineChars="0" w:firstLine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1.症状： 既往多有溃疡病史，穿孔时症状加重。突发剑突下或上腹部刀割样剧烈疼痛，疼痛可波及全腹，常伴恶心及呕吐。可伴休克症状。</w:t>
      </w:r>
    </w:p>
    <w:p w:rsidR="008511E5" w:rsidRPr="00657DB4" w:rsidRDefault="00AF5883" w:rsidP="00657DB4">
      <w:pPr>
        <w:pStyle w:val="1"/>
        <w:spacing w:line="620" w:lineRule="exact"/>
        <w:ind w:leftChars="200" w:left="420" w:firstLineChars="0" w:firstLine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2.体检：急性痛苦面容、脉搏快、血压下降，全腹肌紧张、板状腹、压痛、反跳痛明显，以右上腹为著。腹部叩诊可有移动性浊音，肝浊音界缩小或消失，胃泡鼓音区缩小或消失。肠鸣音明显减少或消失。</w:t>
      </w:r>
    </w:p>
    <w:p w:rsidR="008511E5" w:rsidRPr="00657DB4" w:rsidRDefault="00AF5883" w:rsidP="00657DB4">
      <w:pPr>
        <w:pStyle w:val="1"/>
        <w:spacing w:line="620" w:lineRule="exact"/>
        <w:ind w:leftChars="200" w:left="420" w:firstLineChars="0" w:firstLine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3.实验室检查：血常规白细胞计数和中性粒分类常显著升高，血淀粉酶可升高。</w:t>
      </w:r>
    </w:p>
    <w:p w:rsidR="008511E5" w:rsidRPr="00657DB4" w:rsidRDefault="00AF5883" w:rsidP="00657DB4">
      <w:pPr>
        <w:pStyle w:val="1"/>
        <w:spacing w:line="620" w:lineRule="exact"/>
        <w:ind w:leftChars="200" w:left="420" w:firstLineChars="0" w:firstLine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4.影像学检查：</w:t>
      </w:r>
      <w:r w:rsidR="00B22051" w:rsidRPr="00657DB4">
        <w:rPr>
          <w:rFonts w:ascii="仿宋_GB2312" w:eastAsia="仿宋_GB2312" w:hAnsi="宋体" w:hint="eastAsia"/>
          <w:sz w:val="32"/>
          <w:szCs w:val="28"/>
        </w:rPr>
        <w:t>影像学诊断首选CT</w:t>
      </w:r>
      <w:r w:rsidR="000B6EA9" w:rsidRPr="00657DB4">
        <w:rPr>
          <w:rFonts w:ascii="仿宋_GB2312" w:eastAsia="仿宋_GB2312" w:hAnsi="宋体" w:hint="eastAsia"/>
          <w:sz w:val="32"/>
          <w:szCs w:val="28"/>
        </w:rPr>
        <w:t>，辅以腹部</w:t>
      </w:r>
      <w:r w:rsidR="00B22051" w:rsidRPr="00657DB4">
        <w:rPr>
          <w:rFonts w:ascii="仿宋_GB2312" w:eastAsia="仿宋_GB2312" w:hAnsi="宋体" w:hint="eastAsia"/>
          <w:sz w:val="32"/>
          <w:szCs w:val="28"/>
        </w:rPr>
        <w:t>立位平片</w:t>
      </w:r>
      <w:r w:rsidRPr="00657DB4">
        <w:rPr>
          <w:rFonts w:ascii="仿宋_GB2312" w:eastAsia="仿宋_GB2312" w:hAnsi="宋体" w:hint="eastAsia"/>
          <w:sz w:val="32"/>
          <w:szCs w:val="28"/>
        </w:rPr>
        <w:t>。若诊断仍可疑可行腹穿，可穿出黄色浑浊消化液或食物残渣可确诊。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进入路径标准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1.第一诊断符合ICD-10-：K25.151胃穿孔疾病编码。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2.有手术适应证，无手术禁忌证；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3.当患者同时具有其他疾病诊断，但在住院期间不需要特</w:t>
      </w:r>
      <w:r w:rsidRPr="00657DB4">
        <w:rPr>
          <w:rFonts w:ascii="仿宋_GB2312" w:eastAsia="仿宋_GB2312" w:hAnsi="宋体" w:hint="eastAsia"/>
          <w:sz w:val="32"/>
          <w:szCs w:val="28"/>
        </w:rPr>
        <w:lastRenderedPageBreak/>
        <w:t>殊处理也不影响第一诊断的临床路径流程实施时，可以进入路径。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标准住院日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≤7天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住院期间的检查项目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1.必需的检查项目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（1）血常规、肝肾功能、血型、凝血功能、尿常规、</w:t>
      </w:r>
      <w:r w:rsidR="000B6EA9" w:rsidRPr="00657DB4">
        <w:rPr>
          <w:rFonts w:ascii="仿宋_GB2312" w:eastAsia="仿宋_GB2312" w:hAnsi="宋体" w:hint="eastAsia"/>
          <w:sz w:val="32"/>
          <w:szCs w:val="28"/>
        </w:rPr>
        <w:t>大</w:t>
      </w:r>
      <w:r w:rsidRPr="00657DB4">
        <w:rPr>
          <w:rFonts w:ascii="仿宋_GB2312" w:eastAsia="仿宋_GB2312" w:hAnsi="宋体" w:hint="eastAsia"/>
          <w:sz w:val="32"/>
          <w:szCs w:val="28"/>
        </w:rPr>
        <w:t>便常规、</w:t>
      </w:r>
      <w:r w:rsidR="000B6EA9" w:rsidRPr="00657DB4">
        <w:rPr>
          <w:rFonts w:ascii="仿宋_GB2312" w:eastAsia="仿宋_GB2312" w:hAnsi="宋体" w:hint="eastAsia"/>
          <w:sz w:val="32"/>
          <w:szCs w:val="28"/>
        </w:rPr>
        <w:t>大</w:t>
      </w:r>
      <w:r w:rsidRPr="00657DB4">
        <w:rPr>
          <w:rFonts w:ascii="仿宋_GB2312" w:eastAsia="仿宋_GB2312" w:hAnsi="宋体" w:hint="eastAsia"/>
          <w:sz w:val="32"/>
          <w:szCs w:val="28"/>
        </w:rPr>
        <w:t xml:space="preserve">便潜血； 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（2）梅毒、艾滋病、乙肝、丙肝感染相关检测；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（3）</w:t>
      </w:r>
      <w:r w:rsidR="00312C23" w:rsidRPr="00657DB4">
        <w:rPr>
          <w:rFonts w:ascii="仿宋_GB2312" w:eastAsia="仿宋_GB2312" w:hAnsi="宋体" w:hint="eastAsia"/>
          <w:sz w:val="32"/>
          <w:szCs w:val="28"/>
        </w:rPr>
        <w:t>腹部CT</w:t>
      </w:r>
      <w:r w:rsidRPr="00657DB4">
        <w:rPr>
          <w:rFonts w:ascii="仿宋_GB2312" w:eastAsia="仿宋_GB2312" w:hAnsi="宋体" w:hint="eastAsia"/>
          <w:sz w:val="32"/>
          <w:szCs w:val="28"/>
        </w:rPr>
        <w:t>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（4）</w:t>
      </w:r>
      <w:r w:rsidR="00312C23" w:rsidRPr="00657DB4">
        <w:rPr>
          <w:rFonts w:ascii="仿宋_GB2312" w:eastAsia="仿宋_GB2312" w:hAnsi="宋体" w:hint="eastAsia"/>
          <w:sz w:val="32"/>
          <w:szCs w:val="28"/>
        </w:rPr>
        <w:t>心电图、胸部X线。</w:t>
      </w:r>
    </w:p>
    <w:p w:rsidR="008511E5" w:rsidRPr="00657DB4" w:rsidRDefault="00AF5883" w:rsidP="00657DB4">
      <w:pPr>
        <w:spacing w:line="620" w:lineRule="exact"/>
        <w:ind w:leftChars="200" w:left="42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仿宋_GB2312" w:hint="eastAsia"/>
          <w:vanish/>
          <w:sz w:val="32"/>
          <w:szCs w:val="28"/>
        </w:rPr>
        <w:cr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t>2. 同时具有其他疾病诊断，只要是发现消化道出血，</w:t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vanish/>
          <w:sz w:val="32"/>
          <w:szCs w:val="28"/>
        </w:rPr>
        <w:pgNum/>
      </w:r>
      <w:r w:rsidRPr="00657DB4">
        <w:rPr>
          <w:rFonts w:ascii="仿宋_GB2312" w:eastAsia="仿宋_GB2312" w:hAnsi="仿宋_GB2312" w:hint="eastAsia"/>
          <w:sz w:val="32"/>
          <w:szCs w:val="28"/>
        </w:rPr>
        <w:t>2.</w:t>
      </w:r>
      <w:r w:rsidRPr="00657DB4">
        <w:rPr>
          <w:rFonts w:ascii="仿宋_GB2312" w:eastAsia="仿宋_GB2312" w:hAnsi="宋体" w:hint="eastAsia"/>
          <w:sz w:val="32"/>
          <w:szCs w:val="28"/>
        </w:rPr>
        <w:t>根据患者病情可选择：腹部B超、</w:t>
      </w:r>
      <w:r w:rsidR="00312C23" w:rsidRPr="00657DB4">
        <w:rPr>
          <w:rFonts w:ascii="仿宋_GB2312" w:eastAsia="仿宋_GB2312" w:hAnsi="宋体" w:hint="eastAsia"/>
          <w:sz w:val="32"/>
          <w:szCs w:val="28"/>
        </w:rPr>
        <w:t>腹部立位平片、腹穿及引流液淀粉酶</w:t>
      </w:r>
      <w:r w:rsidRPr="00657DB4">
        <w:rPr>
          <w:rFonts w:ascii="仿宋_GB2312" w:eastAsia="仿宋_GB2312" w:hAnsi="宋体" w:hint="eastAsia"/>
          <w:sz w:val="32"/>
          <w:szCs w:val="28"/>
        </w:rPr>
        <w:t>等。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治疗方案的选择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手术治疗：</w:t>
      </w:r>
    </w:p>
    <w:p w:rsidR="008511E5" w:rsidRPr="00657DB4" w:rsidRDefault="00AF5883" w:rsidP="00657DB4">
      <w:pPr>
        <w:numPr>
          <w:ilvl w:val="0"/>
          <w:numId w:val="3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禁食禁水、胃肠减压；</w:t>
      </w:r>
    </w:p>
    <w:p w:rsidR="008511E5" w:rsidRPr="00657DB4" w:rsidRDefault="00AF5883" w:rsidP="00657DB4">
      <w:pPr>
        <w:numPr>
          <w:ilvl w:val="0"/>
          <w:numId w:val="3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开放静脉通路；</w:t>
      </w:r>
    </w:p>
    <w:p w:rsidR="008511E5" w:rsidRPr="00657DB4" w:rsidRDefault="00AF5883" w:rsidP="00657DB4">
      <w:pPr>
        <w:numPr>
          <w:ilvl w:val="0"/>
          <w:numId w:val="3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补液、抗炎、抑酸；</w:t>
      </w:r>
    </w:p>
    <w:p w:rsidR="008511E5" w:rsidRPr="00657DB4" w:rsidRDefault="00AF5883" w:rsidP="00657DB4">
      <w:pPr>
        <w:numPr>
          <w:ilvl w:val="0"/>
          <w:numId w:val="3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手术：全麻下剖腹或腹腔镜探查、胃穿孔修补或远端胃大部切除；</w:t>
      </w:r>
    </w:p>
    <w:p w:rsidR="008511E5" w:rsidRPr="00657DB4" w:rsidRDefault="00AF5883" w:rsidP="00657DB4">
      <w:pPr>
        <w:numPr>
          <w:ilvl w:val="0"/>
          <w:numId w:val="3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术中留取病变或邻近组织送病理明确诊断。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抗菌药物选择与使用时机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lastRenderedPageBreak/>
        <w:t>1.</w:t>
      </w:r>
      <w:r w:rsidR="009F2FAA" w:rsidRPr="00657DB4">
        <w:rPr>
          <w:rFonts w:ascii="仿宋_GB2312" w:eastAsia="仿宋_GB2312" w:hAnsi="宋体" w:hint="eastAsia"/>
          <w:sz w:val="32"/>
          <w:szCs w:val="28"/>
        </w:rPr>
        <w:t>治疗性常规应用抗生素：可先经验性使用广谱抗生素，后根据培养药敏结果及时更换</w:t>
      </w:r>
      <w:r w:rsidR="00382A64" w:rsidRPr="00657DB4">
        <w:rPr>
          <w:rFonts w:ascii="仿宋_GB2312" w:eastAsia="仿宋_GB2312" w:hAnsi="宋体" w:hint="eastAsia"/>
          <w:sz w:val="32"/>
          <w:szCs w:val="28"/>
        </w:rPr>
        <w:t>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2.手术超过3小时加用1次抗菌药物；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3.术后72小时内停止使用抗菌药物。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手术日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手术日为入院当日（或保守治疗无效急诊手术治疗）。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术后恢复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1.术后约7天恢复出院；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2.术后追查病理结果，制定进一步治疗方案；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3.</w:t>
      </w:r>
      <w:r w:rsidR="002D54C2" w:rsidRPr="00657DB4">
        <w:rPr>
          <w:rFonts w:ascii="仿宋_GB2312" w:eastAsia="仿宋_GB2312" w:hAnsi="宋体" w:hint="eastAsia"/>
          <w:sz w:val="32"/>
          <w:szCs w:val="28"/>
        </w:rPr>
        <w:t>结合</w:t>
      </w:r>
      <w:r w:rsidR="000F063B" w:rsidRPr="00657DB4">
        <w:rPr>
          <w:rFonts w:ascii="仿宋_GB2312" w:eastAsia="仿宋_GB2312" w:hAnsi="宋体" w:hint="eastAsia"/>
          <w:sz w:val="32"/>
          <w:szCs w:val="28"/>
        </w:rPr>
        <w:t>病理结果，非肿瘤性穿孔，</w:t>
      </w:r>
      <w:r w:rsidRPr="00657DB4">
        <w:rPr>
          <w:rFonts w:ascii="仿宋_GB2312" w:eastAsia="仿宋_GB2312" w:hAnsi="宋体" w:hint="eastAsia"/>
          <w:sz w:val="32"/>
          <w:szCs w:val="28"/>
        </w:rPr>
        <w:t>术后1个月门诊复查胃镜，必要时进一步治疗；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4.</w:t>
      </w:r>
      <w:r w:rsidR="00DF2819" w:rsidRPr="00657DB4">
        <w:rPr>
          <w:rFonts w:ascii="仿宋_GB2312" w:eastAsia="仿宋_GB2312" w:hAnsi="宋体" w:hint="eastAsia"/>
          <w:sz w:val="32"/>
          <w:szCs w:val="28"/>
        </w:rPr>
        <w:t>胃溃疡穿孔者，</w:t>
      </w:r>
      <w:r w:rsidRPr="00657DB4">
        <w:rPr>
          <w:rFonts w:ascii="仿宋_GB2312" w:eastAsia="仿宋_GB2312" w:hAnsi="宋体" w:hint="eastAsia"/>
          <w:sz w:val="32"/>
          <w:szCs w:val="28"/>
        </w:rPr>
        <w:t>消化科</w:t>
      </w:r>
      <w:r w:rsidR="000738AA" w:rsidRPr="00657DB4">
        <w:rPr>
          <w:rFonts w:ascii="仿宋_GB2312" w:eastAsia="仿宋_GB2312" w:hAnsi="宋体" w:hint="eastAsia"/>
          <w:sz w:val="32"/>
          <w:szCs w:val="28"/>
        </w:rPr>
        <w:t>规范的</w:t>
      </w:r>
      <w:r w:rsidRPr="00657DB4">
        <w:rPr>
          <w:rFonts w:ascii="仿宋_GB2312" w:eastAsia="仿宋_GB2312" w:hAnsi="宋体" w:hint="eastAsia"/>
          <w:sz w:val="32"/>
          <w:szCs w:val="28"/>
        </w:rPr>
        <w:t>溃疡治疗。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出院标准</w:t>
      </w:r>
      <w:r w:rsidR="00AB1946">
        <w:rPr>
          <w:rFonts w:ascii="楷体_GB2312" w:eastAsia="楷体_GB2312" w:hAnsi="宋体" w:hint="eastAsia"/>
          <w:b/>
          <w:sz w:val="32"/>
          <w:szCs w:val="28"/>
        </w:rPr>
        <w:t>。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1.切口愈合良好（可在门诊拆线）；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2.恢复进食；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3.拔除胃管及引流管；</w:t>
      </w:r>
    </w:p>
    <w:p w:rsidR="008511E5" w:rsidRPr="00657DB4" w:rsidRDefault="00AF5883" w:rsidP="00657DB4">
      <w:pPr>
        <w:spacing w:line="620" w:lineRule="exact"/>
        <w:ind w:leftChars="200" w:left="420"/>
        <w:outlineLvl w:val="0"/>
        <w:rPr>
          <w:rFonts w:ascii="仿宋_GB2312" w:eastAsia="仿宋_GB2312"/>
          <w:sz w:val="32"/>
          <w:szCs w:val="28"/>
        </w:rPr>
      </w:pPr>
      <w:r w:rsidRPr="00657DB4">
        <w:rPr>
          <w:rFonts w:ascii="仿宋_GB2312" w:eastAsia="仿宋_GB2312" w:hint="eastAsia"/>
          <w:sz w:val="32"/>
          <w:szCs w:val="28"/>
        </w:rPr>
        <w:t xml:space="preserve">4. </w:t>
      </w:r>
      <w:r w:rsidRPr="00657DB4">
        <w:rPr>
          <w:rFonts w:ascii="仿宋_GB2312" w:eastAsia="仿宋_GB2312" w:hAnsi="宋体" w:hint="eastAsia"/>
          <w:sz w:val="32"/>
          <w:szCs w:val="28"/>
        </w:rPr>
        <w:t>体温正常，腹部无阳性体征，相关实验室检查结果基本正常。</w:t>
      </w:r>
    </w:p>
    <w:p w:rsidR="008511E5" w:rsidRPr="00657DB4" w:rsidRDefault="00AF5883" w:rsidP="00657DB4">
      <w:pPr>
        <w:numPr>
          <w:ilvl w:val="0"/>
          <w:numId w:val="2"/>
        </w:numPr>
        <w:spacing w:line="620" w:lineRule="exact"/>
        <w:ind w:leftChars="200" w:left="1500"/>
        <w:outlineLvl w:val="0"/>
        <w:rPr>
          <w:rFonts w:ascii="楷体_GB2312" w:eastAsia="楷体_GB2312" w:hAnsi="宋体"/>
          <w:b/>
          <w:sz w:val="32"/>
          <w:szCs w:val="28"/>
        </w:rPr>
      </w:pPr>
      <w:r w:rsidRPr="00657DB4">
        <w:rPr>
          <w:rFonts w:ascii="楷体_GB2312" w:eastAsia="楷体_GB2312" w:hAnsi="宋体" w:hint="eastAsia"/>
          <w:b/>
          <w:sz w:val="32"/>
          <w:szCs w:val="28"/>
        </w:rPr>
        <w:t>变异及原因分析</w:t>
      </w:r>
    </w:p>
    <w:p w:rsidR="008511E5" w:rsidRPr="00657DB4" w:rsidRDefault="00317299" w:rsidP="00657DB4">
      <w:pPr>
        <w:numPr>
          <w:ilvl w:val="0"/>
          <w:numId w:val="4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如为空腹穿孔、无明显中毒症状腹膜炎体征较轻或合并手术禁忌证</w:t>
      </w:r>
      <w:r w:rsidR="00AF5883" w:rsidRPr="00657DB4">
        <w:rPr>
          <w:rFonts w:ascii="仿宋_GB2312" w:eastAsia="仿宋_GB2312" w:hAnsi="宋体" w:hint="eastAsia"/>
          <w:sz w:val="32"/>
          <w:szCs w:val="28"/>
        </w:rPr>
        <w:t>可选择非手术治疗。治疗方案选择禁食禁水、胃肠减压、抗炎、补液、抑酸</w:t>
      </w:r>
      <w:r w:rsidRPr="00657DB4">
        <w:rPr>
          <w:rFonts w:ascii="仿宋_GB2312" w:eastAsia="仿宋_GB2312" w:hAnsi="宋体" w:hint="eastAsia"/>
          <w:sz w:val="32"/>
          <w:szCs w:val="28"/>
        </w:rPr>
        <w:t>等</w:t>
      </w:r>
      <w:r w:rsidR="00AF5883" w:rsidRPr="00657DB4">
        <w:rPr>
          <w:rFonts w:ascii="仿宋_GB2312" w:eastAsia="仿宋_GB2312" w:hAnsi="宋体" w:hint="eastAsia"/>
          <w:sz w:val="32"/>
          <w:szCs w:val="28"/>
        </w:rPr>
        <w:t>治疗。治疗过程中密切关</w:t>
      </w:r>
      <w:r w:rsidR="00AF5883" w:rsidRPr="00657DB4">
        <w:rPr>
          <w:rFonts w:ascii="仿宋_GB2312" w:eastAsia="仿宋_GB2312" w:hAnsi="宋体" w:hint="eastAsia"/>
          <w:sz w:val="32"/>
          <w:szCs w:val="28"/>
        </w:rPr>
        <w:lastRenderedPageBreak/>
        <w:t>注腹膜炎体征变化，如无好转或加重及时手术治疗。</w:t>
      </w:r>
    </w:p>
    <w:p w:rsidR="008511E5" w:rsidRPr="00657DB4" w:rsidRDefault="00AF5883" w:rsidP="00657DB4">
      <w:pPr>
        <w:numPr>
          <w:ilvl w:val="0"/>
          <w:numId w:val="4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手术后再发穿孔、继发切口感染、腹腔内感染等并发症，导致围手术期住院时间延长与费用增加。对于污染重者术中留置腹腔引流管，进食后拔除。</w:t>
      </w:r>
    </w:p>
    <w:p w:rsidR="008511E5" w:rsidRPr="00657DB4" w:rsidRDefault="00AF5883" w:rsidP="00657DB4">
      <w:pPr>
        <w:numPr>
          <w:ilvl w:val="0"/>
          <w:numId w:val="4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住院后出现其他内、外科疾病需进一步明确诊断，导致住院时间延长与费用增加。</w:t>
      </w:r>
    </w:p>
    <w:p w:rsidR="006E062B" w:rsidRPr="00657DB4" w:rsidRDefault="00AF5883" w:rsidP="00657DB4">
      <w:pPr>
        <w:numPr>
          <w:ilvl w:val="0"/>
          <w:numId w:val="4"/>
        </w:numPr>
        <w:spacing w:line="620" w:lineRule="exact"/>
        <w:ind w:leftChars="200" w:left="420"/>
        <w:outlineLvl w:val="0"/>
        <w:rPr>
          <w:rFonts w:ascii="仿宋_GB2312" w:eastAsia="仿宋_GB2312" w:hAnsi="宋体"/>
          <w:sz w:val="32"/>
          <w:szCs w:val="28"/>
        </w:rPr>
      </w:pPr>
      <w:r w:rsidRPr="00657DB4">
        <w:rPr>
          <w:rFonts w:ascii="仿宋_GB2312" w:eastAsia="仿宋_GB2312" w:hAnsi="宋体" w:hint="eastAsia"/>
          <w:sz w:val="32"/>
          <w:szCs w:val="28"/>
        </w:rPr>
        <w:t>术后</w:t>
      </w:r>
      <w:r w:rsidR="00DC6018" w:rsidRPr="00657DB4">
        <w:rPr>
          <w:rFonts w:ascii="仿宋_GB2312" w:eastAsia="仿宋_GB2312" w:hAnsi="宋体" w:hint="eastAsia"/>
          <w:sz w:val="32"/>
          <w:szCs w:val="28"/>
        </w:rPr>
        <w:t>病理报告</w:t>
      </w:r>
      <w:r w:rsidRPr="00657DB4">
        <w:rPr>
          <w:rFonts w:ascii="仿宋_GB2312" w:eastAsia="仿宋_GB2312" w:hAnsi="宋体" w:hint="eastAsia"/>
          <w:sz w:val="32"/>
          <w:szCs w:val="28"/>
        </w:rPr>
        <w:t>为恶性病变需制定进一步治疗方案。</w:t>
      </w:r>
    </w:p>
    <w:p w:rsidR="008511E5" w:rsidRDefault="00AF5883" w:rsidP="00657DB4">
      <w:pPr>
        <w:spacing w:line="620" w:lineRule="exact"/>
        <w:ind w:leftChars="200" w:left="420"/>
        <w:outlineLvl w:val="0"/>
        <w:rPr>
          <w:rFonts w:ascii="黑体" w:eastAsia="黑体" w:hAnsi="宋体"/>
          <w:sz w:val="32"/>
          <w:szCs w:val="32"/>
        </w:rPr>
      </w:pPr>
      <w:r w:rsidRPr="00657DB4">
        <w:rPr>
          <w:rFonts w:ascii="仿宋_GB2312" w:eastAsia="仿宋_GB2312" w:hint="eastAsia"/>
          <w:sz w:val="32"/>
          <w:szCs w:val="28"/>
        </w:rPr>
        <w:br w:type="page"/>
      </w:r>
      <w:r>
        <w:rPr>
          <w:rFonts w:ascii="黑体" w:eastAsia="黑体" w:hAnsi="宋体" w:hint="eastAsia"/>
          <w:sz w:val="32"/>
          <w:szCs w:val="32"/>
        </w:rPr>
        <w:lastRenderedPageBreak/>
        <w:t>二、胃穿孔临床路径表单</w:t>
      </w:r>
    </w:p>
    <w:p w:rsidR="008511E5" w:rsidRPr="00EF2BA4" w:rsidRDefault="00AF5883" w:rsidP="00EF2BA4">
      <w:pPr>
        <w:rPr>
          <w:szCs w:val="21"/>
        </w:rPr>
      </w:pPr>
      <w:r w:rsidRPr="00EF2BA4">
        <w:rPr>
          <w:rFonts w:hint="eastAsia"/>
          <w:szCs w:val="21"/>
        </w:rPr>
        <w:t>适用对象：第一诊断为胃穿孔</w:t>
      </w:r>
      <w:r w:rsidRPr="00EF2BA4">
        <w:rPr>
          <w:rFonts w:hint="eastAsia"/>
          <w:szCs w:val="21"/>
        </w:rPr>
        <w:t>ICD-10-</w:t>
      </w:r>
      <w:r w:rsidRPr="00EF2BA4">
        <w:rPr>
          <w:szCs w:val="21"/>
        </w:rPr>
        <w:t> K25.151</w:t>
      </w:r>
    </w:p>
    <w:p w:rsidR="008511E5" w:rsidRPr="00EF2BA4" w:rsidRDefault="00AF5883" w:rsidP="00EF2BA4">
      <w:pPr>
        <w:rPr>
          <w:szCs w:val="21"/>
          <w:u w:val="single"/>
        </w:rPr>
      </w:pPr>
      <w:r w:rsidRPr="00EF2BA4">
        <w:rPr>
          <w:rFonts w:hint="eastAsia"/>
          <w:szCs w:val="21"/>
        </w:rPr>
        <w:t>患者姓名：性别：年龄：门诊号：住院号：</w:t>
      </w:r>
    </w:p>
    <w:p w:rsidR="008511E5" w:rsidRPr="00EF2BA4" w:rsidRDefault="00AF5883" w:rsidP="00EF2BA4">
      <w:pPr>
        <w:rPr>
          <w:szCs w:val="21"/>
        </w:rPr>
      </w:pPr>
      <w:r w:rsidRPr="00EF2BA4">
        <w:rPr>
          <w:rFonts w:hint="eastAsia"/>
          <w:szCs w:val="21"/>
        </w:rPr>
        <w:t>住院日期：年月日出院日期：年月日标准住院日：≤</w:t>
      </w:r>
      <w:r w:rsidRPr="00EF2BA4">
        <w:rPr>
          <w:rFonts w:hint="eastAsia"/>
          <w:szCs w:val="21"/>
        </w:rPr>
        <w:t>7</w:t>
      </w:r>
      <w:r w:rsidRPr="00EF2BA4">
        <w:rPr>
          <w:rFonts w:hint="eastAsia"/>
          <w:szCs w:val="21"/>
        </w:rPr>
        <w:t>天</w:t>
      </w:r>
    </w:p>
    <w:tbl>
      <w:tblPr>
        <w:tblW w:w="10236" w:type="dxa"/>
        <w:jc w:val="center"/>
        <w:tblLayout w:type="fixed"/>
        <w:tblLook w:val="04A0"/>
      </w:tblPr>
      <w:tblGrid>
        <w:gridCol w:w="860"/>
        <w:gridCol w:w="1080"/>
        <w:gridCol w:w="1080"/>
        <w:gridCol w:w="986"/>
        <w:gridCol w:w="1080"/>
        <w:gridCol w:w="1080"/>
        <w:gridCol w:w="1033"/>
        <w:gridCol w:w="1080"/>
        <w:gridCol w:w="1080"/>
        <w:gridCol w:w="877"/>
      </w:tblGrid>
      <w:tr w:rsidR="008511E5" w:rsidRPr="00EF2BA4">
        <w:trPr>
          <w:trHeight w:val="58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 w:rsidRPr="00EF2BA4">
              <w:rPr>
                <w:rFonts w:ascii="黑体" w:eastAsia="黑体" w:hint="eastAsia"/>
                <w:kern w:val="0"/>
                <w:szCs w:val="21"/>
              </w:rPr>
              <w:t>时间</w:t>
            </w:r>
          </w:p>
        </w:tc>
        <w:tc>
          <w:tcPr>
            <w:tcW w:w="31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住院第1天（急诊手术）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住院第2天（</w:t>
            </w:r>
            <w:r w:rsidRPr="00EF2BA4">
              <w:rPr>
                <w:rFonts w:ascii="黑体" w:eastAsia="黑体" w:hint="eastAsia"/>
                <w:szCs w:val="21"/>
              </w:rPr>
              <w:t>术后第1天）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住院第3天（</w:t>
            </w:r>
            <w:r w:rsidRPr="00EF2BA4">
              <w:rPr>
                <w:rFonts w:ascii="黑体" w:eastAsia="黑体" w:hint="eastAsia"/>
                <w:szCs w:val="21"/>
              </w:rPr>
              <w:t>术后第2天）</w:t>
            </w:r>
          </w:p>
        </w:tc>
      </w:tr>
      <w:tr w:rsidR="008511E5" w:rsidRPr="00EF2BA4">
        <w:trPr>
          <w:trHeight w:val="1218"/>
          <w:jc w:val="center"/>
        </w:trPr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主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要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诊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疗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工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作</w:t>
            </w:r>
          </w:p>
        </w:tc>
        <w:tc>
          <w:tcPr>
            <w:tcW w:w="3146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询问病史，体格检查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书写病历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上级医师、术者查房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制定治疗方案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完善相关检查和术前准备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交代病情、签署手术知情同意书</w:t>
            </w:r>
          </w:p>
          <w:p w:rsidR="00791FBE" w:rsidRPr="00EF2BA4" w:rsidRDefault="00AF5883" w:rsidP="00EF2BA4">
            <w:pPr>
              <w:numPr>
                <w:ilvl w:val="0"/>
                <w:numId w:val="5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通知手术室，急诊手术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上级医师查房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汇总辅助检查结果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完成术后第</w:t>
            </w:r>
            <w:r w:rsidRPr="00EF2BA4">
              <w:rPr>
                <w:rFonts w:hint="eastAsia"/>
                <w:szCs w:val="21"/>
              </w:rPr>
              <w:t>1</w:t>
            </w:r>
            <w:r w:rsidRPr="00EF2BA4">
              <w:rPr>
                <w:rFonts w:hint="eastAsia"/>
                <w:szCs w:val="21"/>
              </w:rPr>
              <w:t>天病程记录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5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观察肠功能恢复情况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观察切口情况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切口换药</w:t>
            </w:r>
          </w:p>
          <w:p w:rsidR="008511E5" w:rsidRPr="00EF2BA4" w:rsidRDefault="00AF5883" w:rsidP="00EF2BA4">
            <w:pPr>
              <w:numPr>
                <w:ilvl w:val="0"/>
                <w:numId w:val="5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完成术后第</w:t>
            </w:r>
            <w:r w:rsidRPr="00EF2BA4">
              <w:rPr>
                <w:rFonts w:hint="eastAsia"/>
                <w:szCs w:val="21"/>
              </w:rPr>
              <w:t>2</w:t>
            </w:r>
            <w:r w:rsidRPr="00EF2BA4">
              <w:rPr>
                <w:rFonts w:hint="eastAsia"/>
                <w:szCs w:val="21"/>
              </w:rPr>
              <w:t>天病程记录</w:t>
            </w:r>
          </w:p>
        </w:tc>
      </w:tr>
      <w:tr w:rsidR="008511E5" w:rsidRPr="00EF2BA4">
        <w:trPr>
          <w:trHeight w:val="912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重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点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医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嘱</w:t>
            </w: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长期医嘱：</w:t>
            </w:r>
          </w:p>
          <w:p w:rsidR="008511E5" w:rsidRPr="00EF2BA4" w:rsidRDefault="00AF5883" w:rsidP="00EF2BA4">
            <w:pPr>
              <w:numPr>
                <w:ilvl w:val="0"/>
                <w:numId w:val="6"/>
              </w:numPr>
              <w:rPr>
                <w:szCs w:val="21"/>
              </w:rPr>
            </w:pPr>
            <w:r w:rsidRPr="00EF2BA4">
              <w:rPr>
                <w:rFonts w:ascii="宋体" w:hAnsi="宋体" w:hint="eastAsia"/>
                <w:szCs w:val="21"/>
              </w:rPr>
              <w:t>Ⅰ</w:t>
            </w:r>
            <w:r w:rsidRPr="00EF2BA4">
              <w:rPr>
                <w:rFonts w:hint="eastAsia"/>
                <w:szCs w:val="21"/>
              </w:rPr>
              <w:t>级护理</w:t>
            </w:r>
          </w:p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临时医嘱：</w:t>
            </w:r>
          </w:p>
          <w:p w:rsidR="008511E5" w:rsidRPr="00EF2BA4" w:rsidRDefault="00AF5883" w:rsidP="00EF2BA4">
            <w:pPr>
              <w:numPr>
                <w:ilvl w:val="0"/>
                <w:numId w:val="6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术前禁食水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6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急查血、尿常规、</w:t>
            </w:r>
            <w:r w:rsidR="0063410D" w:rsidRPr="00EF2BA4">
              <w:rPr>
                <w:rFonts w:hint="eastAsia"/>
                <w:spacing w:val="-10"/>
                <w:szCs w:val="21"/>
              </w:rPr>
              <w:t>大</w:t>
            </w:r>
            <w:r w:rsidRPr="00EF2BA4">
              <w:rPr>
                <w:rFonts w:hint="eastAsia"/>
                <w:spacing w:val="-10"/>
                <w:szCs w:val="21"/>
              </w:rPr>
              <w:t>便常规、</w:t>
            </w:r>
            <w:r w:rsidR="0063410D" w:rsidRPr="00EF2BA4">
              <w:rPr>
                <w:rFonts w:hint="eastAsia"/>
                <w:spacing w:val="-10"/>
                <w:szCs w:val="21"/>
              </w:rPr>
              <w:t>大</w:t>
            </w:r>
            <w:r w:rsidRPr="00EF2BA4">
              <w:rPr>
                <w:rFonts w:hint="eastAsia"/>
                <w:spacing w:val="-10"/>
                <w:szCs w:val="21"/>
              </w:rPr>
              <w:t>便</w:t>
            </w:r>
            <w:r w:rsidRPr="00EF2BA4">
              <w:rPr>
                <w:rFonts w:hint="eastAsia"/>
                <w:spacing w:val="-10"/>
                <w:szCs w:val="21"/>
              </w:rPr>
              <w:t>OB</w:t>
            </w:r>
            <w:r w:rsidR="00FF5715" w:rsidRPr="00EF2BA4">
              <w:rPr>
                <w:rFonts w:hint="eastAsia"/>
                <w:spacing w:val="-10"/>
                <w:szCs w:val="21"/>
              </w:rPr>
              <w:t>、</w:t>
            </w:r>
            <w:r w:rsidR="0063410D" w:rsidRPr="00EF2BA4">
              <w:rPr>
                <w:rFonts w:cs="宋体" w:hint="eastAsia"/>
                <w:szCs w:val="21"/>
              </w:rPr>
              <w:t>肝肾功能</w:t>
            </w:r>
            <w:r w:rsidR="0063410D" w:rsidRPr="00EF2BA4">
              <w:rPr>
                <w:rFonts w:cs="宋体" w:hint="eastAsia"/>
                <w:kern w:val="0"/>
                <w:szCs w:val="21"/>
              </w:rPr>
              <w:t>、</w:t>
            </w:r>
            <w:r w:rsidR="00C378ED" w:rsidRPr="00EF2BA4">
              <w:rPr>
                <w:rFonts w:cs="宋体" w:hint="eastAsia"/>
                <w:kern w:val="0"/>
                <w:szCs w:val="21"/>
              </w:rPr>
              <w:t>电解质、</w:t>
            </w:r>
            <w:r w:rsidRPr="00EF2BA4">
              <w:rPr>
                <w:rFonts w:hint="eastAsia"/>
                <w:szCs w:val="21"/>
              </w:rPr>
              <w:t>凝血</w:t>
            </w:r>
            <w:r w:rsidRPr="00EF2BA4">
              <w:rPr>
                <w:rFonts w:cs="宋体" w:hint="eastAsia"/>
                <w:szCs w:val="21"/>
              </w:rPr>
              <w:t>功能</w:t>
            </w:r>
            <w:r w:rsidR="004628D9" w:rsidRPr="00EF2BA4">
              <w:rPr>
                <w:rFonts w:cs="宋体" w:hint="eastAsia"/>
                <w:szCs w:val="21"/>
              </w:rPr>
              <w:t>、降钙素原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6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感染性疾病筛查</w:t>
            </w:r>
          </w:p>
          <w:p w:rsidR="008511E5" w:rsidRPr="00EF2BA4" w:rsidRDefault="002957CE" w:rsidP="00EF2BA4">
            <w:pPr>
              <w:widowControl/>
              <w:numPr>
                <w:ilvl w:val="0"/>
                <w:numId w:val="6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心电图</w:t>
            </w:r>
            <w:r w:rsidR="002F203A" w:rsidRPr="00EF2BA4">
              <w:rPr>
                <w:rFonts w:cs="宋体" w:hint="eastAsia"/>
                <w:kern w:val="0"/>
                <w:szCs w:val="21"/>
              </w:rPr>
              <w:t>、</w:t>
            </w:r>
            <w:r w:rsidR="00AF5883" w:rsidRPr="00EF2BA4">
              <w:rPr>
                <w:rFonts w:hint="eastAsia"/>
                <w:szCs w:val="21"/>
              </w:rPr>
              <w:t>胸透或者胸部</w:t>
            </w:r>
            <w:r w:rsidR="00AF5883" w:rsidRPr="00EF2BA4">
              <w:rPr>
                <w:rFonts w:hint="eastAsia"/>
                <w:szCs w:val="21"/>
              </w:rPr>
              <w:t>X</w:t>
            </w:r>
            <w:r w:rsidR="007C31FE" w:rsidRPr="00EF2BA4">
              <w:rPr>
                <w:rFonts w:hint="eastAsia"/>
                <w:szCs w:val="21"/>
              </w:rPr>
              <w:t>线、腹部</w:t>
            </w:r>
            <w:r w:rsidR="007C31FE" w:rsidRPr="00EF2BA4">
              <w:rPr>
                <w:rFonts w:hint="eastAsia"/>
                <w:szCs w:val="21"/>
              </w:rPr>
              <w:t>CT</w:t>
            </w:r>
            <w:r w:rsidR="007C31FE" w:rsidRPr="00EF2BA4">
              <w:rPr>
                <w:rFonts w:hint="eastAsia"/>
                <w:szCs w:val="21"/>
              </w:rPr>
              <w:t>、腹部立位</w:t>
            </w:r>
            <w:r w:rsidR="00AF5883" w:rsidRPr="00EF2BA4">
              <w:rPr>
                <w:rFonts w:hint="eastAsia"/>
                <w:szCs w:val="21"/>
              </w:rPr>
              <w:t>平片</w:t>
            </w:r>
            <w:r w:rsidR="00FF5715" w:rsidRPr="00EF2BA4">
              <w:rPr>
                <w:rFonts w:hint="eastAsia"/>
                <w:szCs w:val="21"/>
              </w:rPr>
              <w:t>（可根据情况选择）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6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放置胃管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6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抗炎、补液、抑酸</w:t>
            </w:r>
          </w:p>
          <w:p w:rsidR="00791FBE" w:rsidRPr="00EF2BA4" w:rsidRDefault="007C31FE" w:rsidP="00EF2BA4">
            <w:pPr>
              <w:widowControl/>
              <w:tabs>
                <w:tab w:val="left" w:pos="360"/>
              </w:tabs>
              <w:ind w:left="360"/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（如部分辅助检查已急诊完成，可根据情况调整）</w:t>
            </w:r>
          </w:p>
        </w:tc>
        <w:tc>
          <w:tcPr>
            <w:tcW w:w="3193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长期医嘱：</w:t>
            </w:r>
          </w:p>
          <w:p w:rsidR="008511E5" w:rsidRPr="00EF2BA4" w:rsidRDefault="00F2323D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ascii="宋体" w:hAnsi="宋体" w:hint="eastAsia"/>
                <w:szCs w:val="21"/>
              </w:rPr>
              <w:t>Ⅰ</w:t>
            </w:r>
            <w:r w:rsidR="00AF5883" w:rsidRPr="00EF2BA4">
              <w:rPr>
                <w:rFonts w:hint="eastAsia"/>
                <w:szCs w:val="21"/>
              </w:rPr>
              <w:t>级护理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术后禁食水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抗炎、补液、抑酸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计引流量</w:t>
            </w:r>
          </w:p>
          <w:p w:rsidR="00F2323D" w:rsidRPr="00EF2BA4" w:rsidRDefault="00F2323D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临时医嘱：</w:t>
            </w:r>
          </w:p>
          <w:p w:rsidR="008511E5" w:rsidRPr="00EF2BA4" w:rsidRDefault="00F2323D" w:rsidP="00EF2BA4">
            <w:pPr>
              <w:widowControl/>
              <w:numPr>
                <w:ilvl w:val="0"/>
                <w:numId w:val="6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急查血常规、肝肾功能、电解质、降钙素原</w:t>
            </w:r>
          </w:p>
        </w:tc>
        <w:tc>
          <w:tcPr>
            <w:tcW w:w="3037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长期医嘱：</w:t>
            </w:r>
          </w:p>
          <w:p w:rsidR="008511E5" w:rsidRPr="00EF2BA4" w:rsidRDefault="00846942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ascii="宋体" w:hAnsi="宋体" w:hint="eastAsia"/>
                <w:szCs w:val="21"/>
              </w:rPr>
              <w:t>Ⅰ</w:t>
            </w:r>
            <w:r w:rsidR="00AF5883" w:rsidRPr="00EF2BA4">
              <w:rPr>
                <w:rFonts w:hint="eastAsia"/>
                <w:szCs w:val="21"/>
              </w:rPr>
              <w:t>级护理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术后禁食水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抗炎、补液、抑酸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计引流量</w:t>
            </w:r>
          </w:p>
          <w:p w:rsidR="001134E1" w:rsidRPr="00EF2BA4" w:rsidRDefault="001134E1" w:rsidP="00EF2BA4">
            <w:pPr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拔除导尿管</w:t>
            </w:r>
          </w:p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临时医嘱：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根据患者情况决定检查项目</w:t>
            </w:r>
          </w:p>
        </w:tc>
      </w:tr>
      <w:tr w:rsidR="008511E5" w:rsidRPr="00EF2BA4">
        <w:trPr>
          <w:trHeight w:val="6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主要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护理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工作</w:t>
            </w: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入院评估：一般情况、营养状况、心理变化等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术前准备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7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术前宣教</w:t>
            </w:r>
          </w:p>
        </w:tc>
        <w:tc>
          <w:tcPr>
            <w:tcW w:w="3193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观察患者病情变化</w:t>
            </w:r>
          </w:p>
          <w:p w:rsidR="008511E5" w:rsidRPr="00EF2BA4" w:rsidRDefault="00846FD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根据患者情况鼓励</w:t>
            </w:r>
            <w:r w:rsidR="00AF5883" w:rsidRPr="00EF2BA4">
              <w:rPr>
                <w:rFonts w:hint="eastAsia"/>
                <w:szCs w:val="21"/>
              </w:rPr>
              <w:t>下床活动以利于肠功能恢复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观察引流液量及性状</w:t>
            </w:r>
          </w:p>
        </w:tc>
        <w:tc>
          <w:tcPr>
            <w:tcW w:w="3037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观察患者一般状况，切口情况</w:t>
            </w:r>
          </w:p>
          <w:p w:rsidR="008511E5" w:rsidRPr="00EF2BA4" w:rsidRDefault="00846FD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鼓励</w:t>
            </w:r>
            <w:r w:rsidR="00AF5883" w:rsidRPr="00EF2BA4">
              <w:rPr>
                <w:rFonts w:hint="eastAsia"/>
                <w:szCs w:val="21"/>
              </w:rPr>
              <w:t>患者下床活动有利于肠功能恢复，观察患者是否排气</w:t>
            </w:r>
          </w:p>
          <w:p w:rsidR="008511E5" w:rsidRPr="00EF2BA4" w:rsidRDefault="00AF5883" w:rsidP="00EF2BA4">
            <w:pPr>
              <w:numPr>
                <w:ilvl w:val="0"/>
                <w:numId w:val="7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观察引流液量及性状</w:t>
            </w:r>
          </w:p>
        </w:tc>
      </w:tr>
      <w:tr w:rsidR="008511E5" w:rsidRPr="00EF2BA4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病情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变异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记录</w:t>
            </w: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□无□有，原因：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  <w:tc>
          <w:tcPr>
            <w:tcW w:w="3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□无□有，原因：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  <w:tc>
          <w:tcPr>
            <w:tcW w:w="3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□无□有，原因：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</w:tr>
      <w:tr w:rsidR="008511E5" w:rsidRPr="00EF2BA4">
        <w:trPr>
          <w:trHeight w:val="30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护士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白班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小夜班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大夜班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白班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小夜班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大夜班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白班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小夜班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 w:hint="eastAsia"/>
                <w:kern w:val="0"/>
                <w:szCs w:val="21"/>
              </w:rPr>
              <w:t>大夜班</w:t>
            </w:r>
          </w:p>
        </w:tc>
      </w:tr>
      <w:tr w:rsidR="008511E5" w:rsidRPr="00EF2BA4">
        <w:trPr>
          <w:trHeight w:val="300"/>
          <w:jc w:val="center"/>
        </w:trPr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8511E5" w:rsidP="00EF2BA4">
            <w:pPr>
              <w:widowControl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  <w:p w:rsidR="008511E5" w:rsidRPr="00EF2BA4" w:rsidRDefault="008511E5" w:rsidP="00EF2BA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</w:tr>
      <w:tr w:rsidR="008511E5" w:rsidRPr="00EF2BA4">
        <w:trPr>
          <w:trHeight w:val="65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医师</w:t>
            </w:r>
          </w:p>
          <w:p w:rsidR="008511E5" w:rsidRPr="00EF2BA4" w:rsidRDefault="00AF5883" w:rsidP="00EF2BA4">
            <w:pPr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</w:tr>
    </w:tbl>
    <w:p w:rsidR="008511E5" w:rsidRPr="00EF2BA4" w:rsidRDefault="008511E5" w:rsidP="00EF2BA4">
      <w:pPr>
        <w:tabs>
          <w:tab w:val="left" w:pos="795"/>
          <w:tab w:val="center" w:pos="1332"/>
        </w:tabs>
        <w:rPr>
          <w:b/>
          <w:szCs w:val="21"/>
        </w:rPr>
        <w:sectPr w:rsidR="008511E5" w:rsidRPr="00EF2BA4">
          <w:footerReference w:type="even" r:id="rId9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8511E5" w:rsidRPr="00EF2BA4" w:rsidRDefault="008511E5" w:rsidP="00EF2BA4">
      <w:pPr>
        <w:rPr>
          <w:szCs w:val="21"/>
        </w:rPr>
      </w:pPr>
    </w:p>
    <w:tbl>
      <w:tblPr>
        <w:tblW w:w="10495" w:type="dxa"/>
        <w:jc w:val="center"/>
        <w:tblLayout w:type="fixed"/>
        <w:tblLook w:val="04A0"/>
      </w:tblPr>
      <w:tblGrid>
        <w:gridCol w:w="866"/>
        <w:gridCol w:w="1086"/>
        <w:gridCol w:w="1086"/>
        <w:gridCol w:w="1020"/>
        <w:gridCol w:w="1086"/>
        <w:gridCol w:w="1086"/>
        <w:gridCol w:w="1088"/>
        <w:gridCol w:w="1086"/>
        <w:gridCol w:w="1086"/>
        <w:gridCol w:w="1005"/>
      </w:tblGrid>
      <w:tr w:rsidR="008511E5" w:rsidRPr="00EF2BA4">
        <w:trPr>
          <w:trHeight w:val="1454"/>
          <w:jc w:val="center"/>
        </w:trPr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31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住院第4天（</w:t>
            </w:r>
            <w:r w:rsidRPr="00EF2BA4">
              <w:rPr>
                <w:rFonts w:ascii="黑体" w:eastAsia="黑体" w:hint="eastAsia"/>
                <w:szCs w:val="21"/>
              </w:rPr>
              <w:t>术后第3天）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住院第5天（</w:t>
            </w:r>
            <w:r w:rsidRPr="00EF2BA4">
              <w:rPr>
                <w:rFonts w:ascii="黑体" w:eastAsia="黑体" w:hint="eastAsia"/>
                <w:szCs w:val="21"/>
              </w:rPr>
              <w:t>术后第4天）</w:t>
            </w:r>
          </w:p>
        </w:tc>
        <w:tc>
          <w:tcPr>
            <w:tcW w:w="31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住院第6-7天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EF2BA4">
              <w:rPr>
                <w:rFonts w:ascii="黑体" w:eastAsia="黑体" w:cs="宋体" w:hint="eastAsia"/>
                <w:kern w:val="0"/>
                <w:szCs w:val="21"/>
              </w:rPr>
              <w:t>（</w:t>
            </w:r>
            <w:r w:rsidRPr="00EF2BA4">
              <w:rPr>
                <w:rFonts w:ascii="黑体" w:eastAsia="黑体" w:hint="eastAsia"/>
                <w:szCs w:val="21"/>
              </w:rPr>
              <w:t>术后第</w:t>
            </w:r>
            <w:r w:rsidRPr="00EF2BA4">
              <w:rPr>
                <w:rFonts w:ascii="黑体" w:eastAsia="黑体" w:cs="宋体" w:hint="eastAsia"/>
                <w:kern w:val="0"/>
                <w:szCs w:val="21"/>
              </w:rPr>
              <w:t>5-6</w:t>
            </w:r>
            <w:r w:rsidRPr="00EF2BA4">
              <w:rPr>
                <w:rFonts w:ascii="黑体" w:eastAsia="黑体" w:hint="eastAsia"/>
                <w:szCs w:val="21"/>
              </w:rPr>
              <w:t>天）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主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要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诊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疗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工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作</w:t>
            </w:r>
          </w:p>
        </w:tc>
        <w:tc>
          <w:tcPr>
            <w:tcW w:w="319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上级医师查房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复查血常规及相关生化指标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完成术后第</w:t>
            </w:r>
            <w:r w:rsidRPr="00EF2BA4">
              <w:rPr>
                <w:rFonts w:hint="eastAsia"/>
                <w:szCs w:val="21"/>
              </w:rPr>
              <w:t>3</w:t>
            </w:r>
            <w:r w:rsidRPr="00EF2BA4">
              <w:rPr>
                <w:rFonts w:hint="eastAsia"/>
                <w:szCs w:val="21"/>
              </w:rPr>
              <w:t>天病程记录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观察患者切口有无血肿，渗血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一般生命体征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观察引流液量及性状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观察切口情况，有无感染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检查及分析化验结果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进水情况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观察饮水后引流液量及性状变化</w:t>
            </w:r>
          </w:p>
        </w:tc>
        <w:tc>
          <w:tcPr>
            <w:tcW w:w="31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numPr>
                <w:ilvl w:val="0"/>
                <w:numId w:val="8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检查切口愈合情况</w:t>
            </w:r>
            <w:r w:rsidRPr="00EF2BA4">
              <w:rPr>
                <w:rFonts w:cs="宋体" w:hint="eastAsia"/>
                <w:kern w:val="0"/>
                <w:szCs w:val="21"/>
              </w:rPr>
              <w:t>与</w:t>
            </w:r>
            <w:r w:rsidRPr="00EF2BA4">
              <w:rPr>
                <w:rFonts w:hint="eastAsia"/>
                <w:szCs w:val="21"/>
              </w:rPr>
              <w:t>换药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8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拔除引流管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color w:val="000000"/>
                <w:szCs w:val="21"/>
              </w:rPr>
              <w:t>确定患者出院时间</w:t>
            </w:r>
          </w:p>
          <w:p w:rsidR="00745519" w:rsidRPr="00EF2BA4" w:rsidRDefault="00745519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结合术中病理结果决定下一步治疗方案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color w:val="000000"/>
                <w:szCs w:val="21"/>
              </w:rPr>
              <w:t>向患者交代出院注意事项、复查日期和拆线日期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color w:val="000000"/>
                <w:szCs w:val="21"/>
              </w:rPr>
              <w:t>开具出院诊断书</w:t>
            </w:r>
          </w:p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color w:val="000000"/>
                <w:szCs w:val="21"/>
              </w:rPr>
              <w:t>完成出院记录</w:t>
            </w:r>
          </w:p>
          <w:p w:rsidR="001134E1" w:rsidRPr="00EF2BA4" w:rsidRDefault="00AF5883" w:rsidP="00EF2BA4">
            <w:pPr>
              <w:numPr>
                <w:ilvl w:val="0"/>
                <w:numId w:val="8"/>
              </w:numPr>
              <w:rPr>
                <w:color w:val="000000"/>
                <w:szCs w:val="21"/>
              </w:rPr>
            </w:pPr>
            <w:r w:rsidRPr="00EF2BA4">
              <w:rPr>
                <w:rFonts w:hint="eastAsia"/>
                <w:color w:val="000000"/>
                <w:szCs w:val="21"/>
              </w:rPr>
              <w:t>通知出院处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重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点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医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嘱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长期医嘱：</w:t>
            </w:r>
          </w:p>
          <w:p w:rsidR="008511E5" w:rsidRPr="00EF2BA4" w:rsidRDefault="00AF5883" w:rsidP="00EF2BA4">
            <w:pPr>
              <w:numPr>
                <w:ilvl w:val="0"/>
                <w:numId w:val="9"/>
              </w:numPr>
              <w:rPr>
                <w:b/>
                <w:color w:val="000000"/>
                <w:szCs w:val="21"/>
              </w:rPr>
            </w:pPr>
            <w:r w:rsidRPr="00EF2BA4">
              <w:rPr>
                <w:rFonts w:ascii="宋体" w:hAnsi="宋体" w:hint="eastAsia"/>
                <w:szCs w:val="21"/>
              </w:rPr>
              <w:t>Ⅱ</w:t>
            </w:r>
            <w:r w:rsidRPr="00EF2BA4">
              <w:rPr>
                <w:rFonts w:hint="eastAsia"/>
                <w:szCs w:val="21"/>
              </w:rPr>
              <w:t>级护理</w:t>
            </w:r>
          </w:p>
          <w:p w:rsidR="008511E5" w:rsidRPr="00EF2BA4" w:rsidRDefault="00AF5883" w:rsidP="00EF2BA4">
            <w:pPr>
              <w:numPr>
                <w:ilvl w:val="0"/>
                <w:numId w:val="9"/>
              </w:num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禁食水</w:t>
            </w:r>
          </w:p>
          <w:p w:rsidR="00D805D0" w:rsidRPr="00EF2BA4" w:rsidRDefault="00D805D0" w:rsidP="00EF2BA4">
            <w:pPr>
              <w:numPr>
                <w:ilvl w:val="0"/>
                <w:numId w:val="9"/>
              </w:numPr>
              <w:tabs>
                <w:tab w:val="left" w:pos="180"/>
              </w:tabs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拔除胃管</w:t>
            </w:r>
          </w:p>
          <w:p w:rsidR="008511E5" w:rsidRPr="00EF2BA4" w:rsidRDefault="00AF5883" w:rsidP="00EF2BA4">
            <w:pPr>
              <w:numPr>
                <w:ilvl w:val="0"/>
                <w:numId w:val="9"/>
              </w:num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szCs w:val="21"/>
              </w:rPr>
              <w:t>补液</w:t>
            </w:r>
          </w:p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临时医嘱：</w:t>
            </w:r>
          </w:p>
          <w:p w:rsidR="008511E5" w:rsidRPr="00EF2BA4" w:rsidRDefault="00AF5883" w:rsidP="00EF2BA4">
            <w:pPr>
              <w:numPr>
                <w:ilvl w:val="0"/>
                <w:numId w:val="9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复查血常规及相关指标</w:t>
            </w:r>
          </w:p>
          <w:p w:rsidR="008511E5" w:rsidRPr="00EF2BA4" w:rsidRDefault="00AF5883" w:rsidP="00EF2BA4">
            <w:pPr>
              <w:numPr>
                <w:ilvl w:val="0"/>
                <w:numId w:val="9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换药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长期医嘱：</w:t>
            </w:r>
          </w:p>
          <w:p w:rsidR="008511E5" w:rsidRPr="00EF2BA4" w:rsidRDefault="00AF5883" w:rsidP="00EF2BA4">
            <w:pPr>
              <w:numPr>
                <w:ilvl w:val="0"/>
                <w:numId w:val="10"/>
              </w:numPr>
              <w:rPr>
                <w:szCs w:val="21"/>
              </w:rPr>
            </w:pPr>
            <w:r w:rsidRPr="00EF2BA4">
              <w:rPr>
                <w:rFonts w:ascii="宋体" w:hAnsi="宋体" w:hint="eastAsia"/>
                <w:szCs w:val="21"/>
              </w:rPr>
              <w:t>Ⅲ</w:t>
            </w:r>
            <w:r w:rsidRPr="00EF2BA4">
              <w:rPr>
                <w:rFonts w:hint="eastAsia"/>
                <w:szCs w:val="21"/>
              </w:rPr>
              <w:t>级护理</w:t>
            </w:r>
          </w:p>
          <w:p w:rsidR="008511E5" w:rsidRPr="00EF2BA4" w:rsidRDefault="00AF5883" w:rsidP="00EF2BA4">
            <w:pPr>
              <w:numPr>
                <w:ilvl w:val="0"/>
                <w:numId w:val="10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流食</w:t>
            </w:r>
          </w:p>
          <w:p w:rsidR="008511E5" w:rsidRPr="00EF2BA4" w:rsidRDefault="00AF5883" w:rsidP="00EF2BA4">
            <w:pPr>
              <w:numPr>
                <w:ilvl w:val="0"/>
                <w:numId w:val="10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补液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rPr>
                <w:b/>
                <w:color w:val="000000"/>
                <w:szCs w:val="21"/>
              </w:rPr>
            </w:pPr>
            <w:r w:rsidRPr="00EF2BA4">
              <w:rPr>
                <w:rFonts w:hint="eastAsia"/>
                <w:b/>
                <w:color w:val="000000"/>
                <w:szCs w:val="21"/>
              </w:rPr>
              <w:t>临时医嘱：</w:t>
            </w:r>
          </w:p>
          <w:p w:rsidR="008511E5" w:rsidRPr="00EF2BA4" w:rsidRDefault="00AF5883" w:rsidP="00EF2BA4">
            <w:pPr>
              <w:numPr>
                <w:ilvl w:val="0"/>
                <w:numId w:val="11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半流食</w:t>
            </w:r>
          </w:p>
          <w:p w:rsidR="008511E5" w:rsidRPr="00EF2BA4" w:rsidRDefault="00AF5883" w:rsidP="00EF2BA4">
            <w:pPr>
              <w:numPr>
                <w:ilvl w:val="0"/>
                <w:numId w:val="11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通知出院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hint="eastAsia"/>
                <w:kern w:val="0"/>
                <w:szCs w:val="21"/>
              </w:rPr>
              <w:t>主要护理工作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观察患者一般状况及切口情况</w:t>
            </w:r>
          </w:p>
          <w:p w:rsidR="008511E5" w:rsidRPr="00EF2BA4" w:rsidRDefault="00AF5883" w:rsidP="00EF2BA4">
            <w:pPr>
              <w:numPr>
                <w:ilvl w:val="0"/>
                <w:numId w:val="10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鼓励患者下床活动，促进肠</w:t>
            </w:r>
          </w:p>
          <w:p w:rsidR="008511E5" w:rsidRPr="00EF2BA4" w:rsidRDefault="00AF5883" w:rsidP="00EF2BA4">
            <w:pPr>
              <w:ind w:firstLineChars="200" w:firstLine="420"/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功能恢复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numPr>
                <w:ilvl w:val="0"/>
                <w:numId w:val="8"/>
              </w:numPr>
              <w:rPr>
                <w:spacing w:val="-10"/>
                <w:szCs w:val="21"/>
              </w:rPr>
            </w:pPr>
            <w:r w:rsidRPr="00EF2BA4">
              <w:rPr>
                <w:rFonts w:hint="eastAsia"/>
                <w:spacing w:val="-10"/>
                <w:szCs w:val="21"/>
              </w:rPr>
              <w:t>观察患者一般状况及切口情况</w:t>
            </w:r>
          </w:p>
          <w:p w:rsidR="008511E5" w:rsidRPr="00EF2BA4" w:rsidRDefault="00AF5883" w:rsidP="00EF2BA4">
            <w:pPr>
              <w:numPr>
                <w:ilvl w:val="0"/>
                <w:numId w:val="10"/>
              </w:numPr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鼓励患者下床活动，促进肠</w:t>
            </w:r>
          </w:p>
          <w:p w:rsidR="008511E5" w:rsidRPr="00EF2BA4" w:rsidRDefault="00AF5883" w:rsidP="00EF2BA4">
            <w:pPr>
              <w:ind w:firstLineChars="200" w:firstLine="420"/>
              <w:rPr>
                <w:szCs w:val="21"/>
              </w:rPr>
            </w:pPr>
            <w:r w:rsidRPr="00EF2BA4">
              <w:rPr>
                <w:rFonts w:hint="eastAsia"/>
                <w:szCs w:val="21"/>
              </w:rPr>
              <w:t>功能恢复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numPr>
                <w:ilvl w:val="0"/>
                <w:numId w:val="10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协助患者办理出院手续</w:t>
            </w:r>
          </w:p>
          <w:p w:rsidR="008511E5" w:rsidRPr="00EF2BA4" w:rsidRDefault="00AF5883" w:rsidP="00EF2BA4">
            <w:pPr>
              <w:widowControl/>
              <w:numPr>
                <w:ilvl w:val="0"/>
                <w:numId w:val="10"/>
              </w:numPr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szCs w:val="21"/>
              </w:rPr>
              <w:t>出院指导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病情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变异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记录</w:t>
            </w:r>
          </w:p>
        </w:tc>
        <w:tc>
          <w:tcPr>
            <w:tcW w:w="3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kern w:val="0"/>
                <w:szCs w:val="21"/>
              </w:rPr>
              <w:t>□无□有</w:t>
            </w:r>
            <w:r w:rsidRPr="00EF2BA4">
              <w:rPr>
                <w:rFonts w:cs="宋体" w:hint="eastAsia"/>
                <w:kern w:val="0"/>
                <w:szCs w:val="21"/>
              </w:rPr>
              <w:t>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kern w:val="0"/>
                <w:szCs w:val="21"/>
              </w:rPr>
              <w:t>□无□有</w:t>
            </w:r>
            <w:r w:rsidRPr="00EF2BA4">
              <w:rPr>
                <w:rFonts w:cs="宋体" w:hint="eastAsia"/>
                <w:kern w:val="0"/>
                <w:szCs w:val="21"/>
              </w:rPr>
              <w:t>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hint="eastAsia"/>
                <w:kern w:val="0"/>
                <w:szCs w:val="21"/>
              </w:rPr>
              <w:t>□无□有</w:t>
            </w:r>
            <w:r w:rsidRPr="00EF2BA4">
              <w:rPr>
                <w:rFonts w:cs="宋体" w:hint="eastAsia"/>
                <w:kern w:val="0"/>
                <w:szCs w:val="21"/>
              </w:rPr>
              <w:t>，原因：</w:t>
            </w:r>
          </w:p>
          <w:p w:rsidR="008511E5" w:rsidRPr="00EF2BA4" w:rsidRDefault="00AF5883" w:rsidP="00EF2BA4">
            <w:pPr>
              <w:widowControl/>
              <w:rPr>
                <w:rFonts w:cs="宋体"/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1.</w:t>
            </w:r>
          </w:p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rFonts w:cs="宋体"/>
                <w:kern w:val="0"/>
                <w:szCs w:val="21"/>
              </w:rPr>
              <w:t>2.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护士</w:t>
            </w:r>
          </w:p>
          <w:p w:rsidR="008511E5" w:rsidRPr="00EF2BA4" w:rsidRDefault="00AF5883" w:rsidP="00EF2BA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白班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小夜班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大夜班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白班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小夜班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大夜班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白班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小夜班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EF2BA4">
              <w:rPr>
                <w:rFonts w:hAnsi="宋体" w:cs="宋体" w:hint="eastAsia"/>
                <w:kern w:val="0"/>
                <w:szCs w:val="21"/>
              </w:rPr>
              <w:t>大夜班</w:t>
            </w:r>
          </w:p>
        </w:tc>
      </w:tr>
      <w:tr w:rsidR="008511E5" w:rsidRPr="00EF2BA4">
        <w:trPr>
          <w:trHeight w:val="734"/>
          <w:jc w:val="center"/>
        </w:trPr>
        <w:tc>
          <w:tcPr>
            <w:tcW w:w="8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8511E5" w:rsidP="00EF2BA4">
            <w:pPr>
              <w:widowControl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</w:tr>
      <w:tr w:rsidR="008511E5" w:rsidRPr="00EF2BA4">
        <w:trPr>
          <w:trHeight w:val="15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医师</w:t>
            </w:r>
          </w:p>
          <w:p w:rsidR="008511E5" w:rsidRPr="00EF2BA4" w:rsidRDefault="00AF5883" w:rsidP="00EF2BA4">
            <w:pPr>
              <w:jc w:val="center"/>
              <w:rPr>
                <w:rFonts w:eastAsia="黑体" w:cs="宋体"/>
                <w:kern w:val="0"/>
                <w:szCs w:val="21"/>
              </w:rPr>
            </w:pPr>
            <w:r w:rsidRPr="00EF2BA4">
              <w:rPr>
                <w:rFonts w:eastAsia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E5" w:rsidRPr="00EF2BA4" w:rsidRDefault="00AF5883" w:rsidP="00EF2BA4">
            <w:pPr>
              <w:widowControl/>
              <w:rPr>
                <w:kern w:val="0"/>
                <w:szCs w:val="21"/>
              </w:rPr>
            </w:pPr>
            <w:r w:rsidRPr="00EF2BA4">
              <w:rPr>
                <w:kern w:val="0"/>
                <w:szCs w:val="21"/>
              </w:rPr>
              <w:t xml:space="preserve">　</w:t>
            </w:r>
          </w:p>
        </w:tc>
      </w:tr>
    </w:tbl>
    <w:p w:rsidR="008511E5" w:rsidRPr="00EF2BA4" w:rsidRDefault="008511E5" w:rsidP="00EF2BA4">
      <w:pPr>
        <w:rPr>
          <w:szCs w:val="21"/>
        </w:rPr>
      </w:pPr>
    </w:p>
    <w:sectPr w:rsidR="008511E5" w:rsidRPr="00EF2BA4" w:rsidSect="0044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25" w:rsidRDefault="00452825">
      <w:r>
        <w:separator/>
      </w:r>
    </w:p>
  </w:endnote>
  <w:endnote w:type="continuationSeparator" w:id="1">
    <w:p w:rsidR="00452825" w:rsidRDefault="0045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E5" w:rsidRDefault="00447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8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883">
      <w:rPr>
        <w:rStyle w:val="a5"/>
      </w:rPr>
      <w:t>5</w:t>
    </w:r>
    <w:r>
      <w:rPr>
        <w:rStyle w:val="a5"/>
      </w:rPr>
      <w:fldChar w:fldCharType="end"/>
    </w:r>
  </w:p>
  <w:p w:rsidR="008511E5" w:rsidRDefault="008511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25" w:rsidRDefault="00452825">
      <w:r>
        <w:separator/>
      </w:r>
    </w:p>
  </w:footnote>
  <w:footnote w:type="continuationSeparator" w:id="1">
    <w:p w:rsidR="00452825" w:rsidRDefault="00452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656"/>
    <w:multiLevelType w:val="multilevel"/>
    <w:tmpl w:val="07021656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69534FB"/>
    <w:multiLevelType w:val="multilevel"/>
    <w:tmpl w:val="369534F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F91282"/>
    <w:multiLevelType w:val="multilevel"/>
    <w:tmpl w:val="42F91282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left" w:pos="600"/>
        </w:tabs>
        <w:ind w:left="600" w:hanging="180"/>
      </w:pPr>
      <w:rPr>
        <w:rFonts w:ascii="宋体"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9FA3EA6"/>
    <w:multiLevelType w:val="multilevel"/>
    <w:tmpl w:val="49FA3EA6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7B3B99"/>
    <w:multiLevelType w:val="multilevel"/>
    <w:tmpl w:val="587B3B99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D27F60"/>
    <w:multiLevelType w:val="singleLevel"/>
    <w:tmpl w:val="58D27F60"/>
    <w:lvl w:ilvl="0">
      <w:start w:val="1"/>
      <w:numFmt w:val="decimal"/>
      <w:suff w:val="nothing"/>
      <w:lvlText w:val="（%1）"/>
      <w:lvlJc w:val="left"/>
    </w:lvl>
  </w:abstractNum>
  <w:abstractNum w:abstractNumId="6">
    <w:nsid w:val="58D28CD7"/>
    <w:multiLevelType w:val="singleLevel"/>
    <w:tmpl w:val="58D28CD7"/>
    <w:lvl w:ilvl="0">
      <w:start w:val="1"/>
      <w:numFmt w:val="decimal"/>
      <w:suff w:val="nothing"/>
      <w:lvlText w:val="%1."/>
      <w:lvlJc w:val="left"/>
    </w:lvl>
  </w:abstractNum>
  <w:abstractNum w:abstractNumId="7">
    <w:nsid w:val="728F1BDB"/>
    <w:multiLevelType w:val="multilevel"/>
    <w:tmpl w:val="728F1BDB"/>
    <w:lvl w:ilvl="0">
      <w:numFmt w:val="bullet"/>
      <w:lvlText w:val="□"/>
      <w:lvlJc w:val="left"/>
      <w:pPr>
        <w:tabs>
          <w:tab w:val="left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3E4350F"/>
    <w:multiLevelType w:val="multilevel"/>
    <w:tmpl w:val="73E4350F"/>
    <w:lvl w:ilvl="0">
      <w:numFmt w:val="bullet"/>
      <w:lvlText w:val="□"/>
      <w:lvlJc w:val="left"/>
      <w:pPr>
        <w:tabs>
          <w:tab w:val="left" w:pos="180"/>
        </w:tabs>
        <w:ind w:left="180" w:hanging="180"/>
      </w:pPr>
      <w:rPr>
        <w:rFonts w:asci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BE9652B"/>
    <w:multiLevelType w:val="multilevel"/>
    <w:tmpl w:val="7BE9652B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  <w:color w:val="auto"/>
        <w:lang w:val="en-US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EA30F02"/>
    <w:multiLevelType w:val="multilevel"/>
    <w:tmpl w:val="7EA30F02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1E5"/>
    <w:rsid w:val="000738AA"/>
    <w:rsid w:val="000B6EA9"/>
    <w:rsid w:val="000C383E"/>
    <w:rsid w:val="000F063B"/>
    <w:rsid w:val="001134E1"/>
    <w:rsid w:val="00205EF0"/>
    <w:rsid w:val="002957CE"/>
    <w:rsid w:val="002D54C2"/>
    <w:rsid w:val="002F203A"/>
    <w:rsid w:val="00312C23"/>
    <w:rsid w:val="00317299"/>
    <w:rsid w:val="00382A64"/>
    <w:rsid w:val="003E2A9E"/>
    <w:rsid w:val="00422EB4"/>
    <w:rsid w:val="00447989"/>
    <w:rsid w:val="00452825"/>
    <w:rsid w:val="004628D9"/>
    <w:rsid w:val="005B0A3F"/>
    <w:rsid w:val="00601056"/>
    <w:rsid w:val="00626507"/>
    <w:rsid w:val="0063410D"/>
    <w:rsid w:val="00657DB4"/>
    <w:rsid w:val="006E062B"/>
    <w:rsid w:val="00721D4A"/>
    <w:rsid w:val="00745519"/>
    <w:rsid w:val="007745BA"/>
    <w:rsid w:val="00791FBE"/>
    <w:rsid w:val="007C2C26"/>
    <w:rsid w:val="007C31FE"/>
    <w:rsid w:val="007D0376"/>
    <w:rsid w:val="007E06EA"/>
    <w:rsid w:val="00833F48"/>
    <w:rsid w:val="00846942"/>
    <w:rsid w:val="00846FD3"/>
    <w:rsid w:val="008511E5"/>
    <w:rsid w:val="008C687E"/>
    <w:rsid w:val="00920C1F"/>
    <w:rsid w:val="00927008"/>
    <w:rsid w:val="00966221"/>
    <w:rsid w:val="009904E4"/>
    <w:rsid w:val="009D2FE2"/>
    <w:rsid w:val="009F2FAA"/>
    <w:rsid w:val="00A35BCF"/>
    <w:rsid w:val="00AB1946"/>
    <w:rsid w:val="00AD3753"/>
    <w:rsid w:val="00AF5883"/>
    <w:rsid w:val="00B22051"/>
    <w:rsid w:val="00B31AC3"/>
    <w:rsid w:val="00BD6330"/>
    <w:rsid w:val="00C378ED"/>
    <w:rsid w:val="00CA718B"/>
    <w:rsid w:val="00D64DD1"/>
    <w:rsid w:val="00D805D0"/>
    <w:rsid w:val="00DC6018"/>
    <w:rsid w:val="00DF2819"/>
    <w:rsid w:val="00E05D27"/>
    <w:rsid w:val="00E30107"/>
    <w:rsid w:val="00E75083"/>
    <w:rsid w:val="00EF2BA4"/>
    <w:rsid w:val="00F2323D"/>
    <w:rsid w:val="00F61391"/>
    <w:rsid w:val="00FB58FB"/>
    <w:rsid w:val="00FF5715"/>
    <w:rsid w:val="03E561AD"/>
    <w:rsid w:val="54864F5E"/>
    <w:rsid w:val="553F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7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4479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rsid w:val="00447989"/>
  </w:style>
  <w:style w:type="paragraph" w:customStyle="1" w:styleId="1">
    <w:name w:val="列出段落1"/>
    <w:basedOn w:val="a"/>
    <w:qFormat/>
    <w:rsid w:val="00447989"/>
    <w:pPr>
      <w:ind w:firstLineChars="200" w:firstLine="420"/>
    </w:pPr>
  </w:style>
  <w:style w:type="character" w:customStyle="1" w:styleId="nowrap">
    <w:name w:val="nowrap"/>
    <w:basedOn w:val="a0"/>
    <w:rsid w:val="00447989"/>
  </w:style>
  <w:style w:type="character" w:customStyle="1" w:styleId="h2">
    <w:name w:val="h2"/>
    <w:basedOn w:val="a0"/>
    <w:qFormat/>
    <w:rsid w:val="00447989"/>
  </w:style>
  <w:style w:type="character" w:customStyle="1" w:styleId="headingendmark">
    <w:name w:val="headingendmark"/>
    <w:basedOn w:val="a0"/>
    <w:qFormat/>
    <w:rsid w:val="00447989"/>
  </w:style>
  <w:style w:type="character" w:styleId="a6">
    <w:name w:val="annotation reference"/>
    <w:basedOn w:val="a0"/>
    <w:rsid w:val="00A35BCF"/>
    <w:rPr>
      <w:sz w:val="21"/>
      <w:szCs w:val="21"/>
    </w:rPr>
  </w:style>
  <w:style w:type="paragraph" w:styleId="a7">
    <w:name w:val="annotation text"/>
    <w:basedOn w:val="a"/>
    <w:link w:val="Char"/>
    <w:rsid w:val="00A35BCF"/>
    <w:pPr>
      <w:jc w:val="left"/>
    </w:pPr>
  </w:style>
  <w:style w:type="character" w:customStyle="1" w:styleId="Char">
    <w:name w:val="批注文字 Char"/>
    <w:basedOn w:val="a0"/>
    <w:link w:val="a7"/>
    <w:rsid w:val="00A35BC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A35BCF"/>
    <w:rPr>
      <w:b/>
      <w:bCs/>
    </w:rPr>
  </w:style>
  <w:style w:type="character" w:customStyle="1" w:styleId="Char0">
    <w:name w:val="批注主题 Char"/>
    <w:basedOn w:val="Char"/>
    <w:link w:val="a8"/>
    <w:rsid w:val="00A35BC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A35BCF"/>
    <w:rPr>
      <w:sz w:val="18"/>
      <w:szCs w:val="18"/>
    </w:rPr>
  </w:style>
  <w:style w:type="character" w:customStyle="1" w:styleId="Char1">
    <w:name w:val="批注框文本 Char"/>
    <w:basedOn w:val="a0"/>
    <w:link w:val="a9"/>
    <w:rsid w:val="00A35BCF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AD3753"/>
    <w:pPr>
      <w:ind w:firstLineChars="200" w:firstLine="420"/>
    </w:pPr>
  </w:style>
  <w:style w:type="paragraph" w:styleId="ab">
    <w:name w:val="header"/>
    <w:basedOn w:val="a"/>
    <w:link w:val="Char2"/>
    <w:unhideWhenUsed/>
    <w:rsid w:val="0065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657D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247CCF9-8DA8-456F-B440-BCEEE9615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</dc:creator>
  <cp:lastModifiedBy>wangyy</cp:lastModifiedBy>
  <cp:revision>55</cp:revision>
  <dcterms:created xsi:type="dcterms:W3CDTF">2014-10-29T12:08:00Z</dcterms:created>
  <dcterms:modified xsi:type="dcterms:W3CDTF">2017-05-26T04:37:00Z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