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AE" w:rsidRDefault="00960CAB" w:rsidP="00DE2B9D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0"/>
        </w:rPr>
      </w:pPr>
      <w:r w:rsidRPr="005519F2">
        <w:rPr>
          <w:rFonts w:asciiTheme="majorEastAsia" w:eastAsiaTheme="majorEastAsia" w:hAnsiTheme="majorEastAsia" w:hint="eastAsia"/>
          <w:b/>
          <w:sz w:val="44"/>
          <w:szCs w:val="40"/>
        </w:rPr>
        <w:t>伤寒</w:t>
      </w:r>
      <w:r w:rsidR="00F5541D" w:rsidRPr="005519F2">
        <w:rPr>
          <w:rFonts w:asciiTheme="majorEastAsia" w:eastAsiaTheme="majorEastAsia" w:hAnsiTheme="majorEastAsia" w:hint="eastAsia"/>
          <w:b/>
          <w:sz w:val="44"/>
          <w:szCs w:val="40"/>
        </w:rPr>
        <w:t>临床路径</w:t>
      </w:r>
    </w:p>
    <w:p w:rsidR="00F5541D" w:rsidRDefault="00711B94" w:rsidP="00650860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DE2B9D">
        <w:rPr>
          <w:rFonts w:ascii="黑体" w:eastAsia="黑体" w:hAnsi="黑体" w:hint="eastAsia"/>
          <w:sz w:val="32"/>
          <w:szCs w:val="32"/>
        </w:rPr>
        <w:t>伤寒临床路径</w:t>
      </w:r>
      <w:r w:rsidR="00F5541D" w:rsidRPr="00AA4945">
        <w:rPr>
          <w:rFonts w:ascii="黑体" w:eastAsia="黑体" w:hAnsi="黑体" w:hint="eastAsia"/>
          <w:sz w:val="32"/>
          <w:szCs w:val="32"/>
        </w:rPr>
        <w:t>标准住院流程</w:t>
      </w:r>
    </w:p>
    <w:p w:rsidR="00F5541D" w:rsidRPr="00626C5D" w:rsidRDefault="00F5541D" w:rsidP="00650860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（一）适用对象。</w:t>
      </w:r>
    </w:p>
    <w:p w:rsidR="00F5541D" w:rsidRPr="00DE2B9D" w:rsidRDefault="00E0443C" w:rsidP="00DE2B9D">
      <w:pPr>
        <w:ind w:firstLineChars="200" w:firstLine="640"/>
        <w:rPr>
          <w:rFonts w:ascii="仿宋_GB2312" w:eastAsia="仿宋_GB2312" w:hAnsiTheme="majorEastAsia" w:hint="eastAsia"/>
          <w:sz w:val="36"/>
          <w:szCs w:val="32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第一诊断伤寒（</w:t>
      </w:r>
      <w:r w:rsidRPr="00DE2B9D">
        <w:rPr>
          <w:rFonts w:ascii="仿宋_GB2312" w:eastAsia="仿宋_GB2312" w:hAnsiTheme="majorEastAsia" w:hint="eastAsia"/>
          <w:sz w:val="32"/>
          <w:szCs w:val="28"/>
        </w:rPr>
        <w:t>ICD-10：A01.001）</w:t>
      </w:r>
      <w:r w:rsidR="00DE2B9D">
        <w:rPr>
          <w:rFonts w:ascii="仿宋_GB2312" w:eastAsia="仿宋_GB2312" w:hAnsiTheme="majorEastAsia" w:hint="eastAsia"/>
          <w:sz w:val="32"/>
          <w:szCs w:val="28"/>
        </w:rPr>
        <w:t>。</w:t>
      </w:r>
    </w:p>
    <w:p w:rsidR="00F5541D" w:rsidRPr="00626C5D" w:rsidRDefault="00F5541D" w:rsidP="00650860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（二）诊断依据。</w:t>
      </w:r>
    </w:p>
    <w:p w:rsidR="00473E12" w:rsidRPr="00DE2B9D" w:rsidRDefault="00473E12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1、临床诊断标准：在伤寒流行季节（夏秋季）和地区有持续性高热（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40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-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41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℃），为时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1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-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2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周以上，并出现特殊中毒面容、相对缓脉、皮肤玫瑰疹、肝脾肿大、周围血象白细胞总数低下、嗜酸性粒细胞消失，骨髓象中有伤寒细胞（戒指细胞），可临床诊断为伤寒。</w:t>
      </w:r>
    </w:p>
    <w:p w:rsidR="00473E12" w:rsidRPr="00DE2B9D" w:rsidRDefault="00473E12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/>
          <w:sz w:val="32"/>
          <w:szCs w:val="28"/>
        </w:rPr>
        <w:t>2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、确诊标准：疑似病例如有以下项目之一者即可确诊。</w:t>
      </w:r>
    </w:p>
    <w:p w:rsidR="00473E12" w:rsidRPr="00DE2B9D" w:rsidRDefault="00473E12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/>
          <w:sz w:val="32"/>
          <w:szCs w:val="28"/>
        </w:rPr>
        <w:t>1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）从血、</w:t>
      </w:r>
      <w:hyperlink r:id="rId8" w:history="1">
        <w:r w:rsidRPr="00DE2B9D">
          <w:rPr>
            <w:rFonts w:ascii="仿宋_GB2312" w:eastAsia="仿宋_GB2312" w:hAnsiTheme="majorEastAsia" w:cs="微软雅黑" w:hint="eastAsia"/>
            <w:sz w:val="32"/>
            <w:szCs w:val="28"/>
          </w:rPr>
          <w:t>骨髓</w:t>
        </w:r>
      </w:hyperlink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、</w:t>
      </w:r>
      <w:hyperlink r:id="rId9" w:history="1">
        <w:r w:rsidRPr="00DE2B9D">
          <w:rPr>
            <w:rFonts w:ascii="仿宋_GB2312" w:eastAsia="仿宋_GB2312" w:hAnsiTheme="majorEastAsia" w:cs="微软雅黑" w:hint="eastAsia"/>
            <w:sz w:val="32"/>
            <w:szCs w:val="28"/>
          </w:rPr>
          <w:t>尿</w:t>
        </w:r>
      </w:hyperlink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、粪便玫瑰疹刮取物中，任一种标本分离到伤寒杆菌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；</w:t>
      </w:r>
    </w:p>
    <w:p w:rsidR="00711B94" w:rsidRPr="00DE2B9D" w:rsidRDefault="00473E12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/>
          <w:sz w:val="32"/>
          <w:szCs w:val="28"/>
        </w:rPr>
        <w:t>2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）血清特异性抗体阳性肥达氏反应“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O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”抗体凝集效价≥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1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：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80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，“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H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”抗体凝集效价≥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1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：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160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，恢复期效价增高</w:t>
      </w:r>
      <w:r w:rsidRPr="00DE2B9D">
        <w:rPr>
          <w:rFonts w:ascii="仿宋_GB2312" w:eastAsia="仿宋_GB2312" w:hAnsiTheme="majorEastAsia" w:cs="微软雅黑"/>
          <w:sz w:val="32"/>
          <w:szCs w:val="28"/>
        </w:rPr>
        <w:t>4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倍以上者。</w:t>
      </w:r>
    </w:p>
    <w:p w:rsidR="00F5541D" w:rsidRPr="00626C5D" w:rsidRDefault="00F5541D" w:rsidP="00650860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（三）进入路径标准。</w:t>
      </w:r>
    </w:p>
    <w:p w:rsidR="008A5D60" w:rsidRPr="00DE2B9D" w:rsidRDefault="00DE2B9D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>
        <w:rPr>
          <w:rFonts w:ascii="仿宋_GB2312" w:eastAsia="仿宋_GB2312" w:hAnsiTheme="majorEastAsia" w:cs="微软雅黑" w:hint="eastAsia"/>
          <w:sz w:val="32"/>
          <w:szCs w:val="28"/>
        </w:rPr>
        <w:t>1.</w:t>
      </w:r>
      <w:r w:rsidR="008A5D60" w:rsidRPr="00DE2B9D">
        <w:rPr>
          <w:rFonts w:ascii="仿宋_GB2312" w:eastAsia="仿宋_GB2312" w:hAnsiTheme="majorEastAsia" w:cs="微软雅黑" w:hint="eastAsia"/>
          <w:sz w:val="32"/>
          <w:szCs w:val="28"/>
        </w:rPr>
        <w:t>第一诊断必须符合</w:t>
      </w:r>
      <w:r w:rsidR="008A5D60" w:rsidRPr="00DE2B9D">
        <w:rPr>
          <w:rFonts w:ascii="仿宋_GB2312" w:eastAsia="仿宋_GB2312" w:hAnsiTheme="majorEastAsia" w:cs="微软雅黑"/>
          <w:sz w:val="32"/>
          <w:szCs w:val="28"/>
        </w:rPr>
        <w:t>ICD10</w:t>
      </w:r>
      <w:r w:rsidR="008A5D60" w:rsidRPr="00DE2B9D">
        <w:rPr>
          <w:rFonts w:ascii="仿宋_GB2312" w:eastAsia="仿宋_GB2312" w:hAnsiTheme="majorEastAsia" w:cs="微软雅黑" w:hint="eastAsia"/>
          <w:sz w:val="32"/>
          <w:szCs w:val="28"/>
        </w:rPr>
        <w:t>：A01.001，伤寒。</w:t>
      </w:r>
    </w:p>
    <w:p w:rsidR="00711B94" w:rsidRPr="00DE2B9D" w:rsidRDefault="00DE2B9D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>
        <w:rPr>
          <w:rFonts w:ascii="仿宋_GB2312" w:eastAsia="仿宋_GB2312" w:hAnsiTheme="majorEastAsia" w:cs="微软雅黑" w:hint="eastAsia"/>
          <w:sz w:val="32"/>
          <w:szCs w:val="28"/>
        </w:rPr>
        <w:t>2.</w:t>
      </w:r>
      <w:r w:rsidR="008A5D60" w:rsidRPr="00DE2B9D">
        <w:rPr>
          <w:rFonts w:ascii="仿宋_GB2312" w:eastAsia="仿宋_GB2312" w:hAnsiTheme="majorEastAsia" w:cs="微软雅黑" w:hint="eastAsia"/>
          <w:sz w:val="32"/>
          <w:szCs w:val="28"/>
        </w:rPr>
        <w:t>当患者同时具有其他疾病诊断时，但在住院期间确诊第一诊断的临床路径流程实施时，可以进入路径。</w:t>
      </w:r>
    </w:p>
    <w:p w:rsidR="0078616D" w:rsidRPr="00DE2B9D" w:rsidRDefault="003166A5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3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.</w:t>
      </w:r>
      <w:r w:rsidR="0078616D" w:rsidRPr="00DE2B9D">
        <w:rPr>
          <w:rFonts w:ascii="仿宋_GB2312" w:eastAsia="仿宋_GB2312" w:hAnsiTheme="majorEastAsia" w:cs="微软雅黑" w:hint="eastAsia"/>
          <w:sz w:val="32"/>
          <w:szCs w:val="28"/>
        </w:rPr>
        <w:t>并发肠穿孔肠出血等需要外科干预治疗时，出此路径。</w:t>
      </w:r>
    </w:p>
    <w:p w:rsidR="00F5541D" w:rsidRPr="00626C5D" w:rsidRDefault="00F5541D" w:rsidP="00650860">
      <w:pPr>
        <w:spacing w:line="276" w:lineRule="auto"/>
        <w:rPr>
          <w:rFonts w:ascii="楷体_GB2312" w:eastAsia="楷体_GB2312" w:hAnsi="宋体"/>
          <w:b/>
          <w:bCs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bCs/>
          <w:sz w:val="32"/>
          <w:szCs w:val="32"/>
        </w:rPr>
        <w:t>（四）标准住院日。</w:t>
      </w:r>
    </w:p>
    <w:p w:rsidR="00984F59" w:rsidRPr="00DE2B9D" w:rsidRDefault="00D8139F" w:rsidP="00650860">
      <w:pPr>
        <w:rPr>
          <w:rFonts w:ascii="仿宋_GB2312" w:eastAsia="仿宋_GB2312" w:hAnsiTheme="majorEastAsia" w:cs="微软雅黑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 xml:space="preserve">  </w:t>
      </w:r>
      <w:r w:rsidR="00984F59" w:rsidRPr="00DE2B9D">
        <w:rPr>
          <w:rFonts w:ascii="仿宋_GB2312" w:eastAsia="仿宋_GB2312" w:hAnsiTheme="majorEastAsia" w:cs="微软雅黑" w:hint="eastAsia"/>
          <w:sz w:val="32"/>
          <w:szCs w:val="28"/>
        </w:rPr>
        <w:t>14-21天。</w:t>
      </w:r>
    </w:p>
    <w:p w:rsidR="00F5541D" w:rsidRPr="00626C5D" w:rsidRDefault="00F5541D" w:rsidP="00650860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（五）住院期间的检查项目。</w:t>
      </w:r>
    </w:p>
    <w:p w:rsidR="00F5541D" w:rsidRPr="00DE2B9D" w:rsidRDefault="00F5541D" w:rsidP="00DE2B9D">
      <w:pPr>
        <w:ind w:firstLineChars="150" w:firstLine="48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1.必需的检查项目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：</w:t>
      </w:r>
    </w:p>
    <w:p w:rsidR="00750CA0" w:rsidRPr="00DE2B9D" w:rsidRDefault="00750CA0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1）血常规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；</w:t>
      </w:r>
    </w:p>
    <w:p w:rsidR="00750CA0" w:rsidRPr="00DE2B9D" w:rsidRDefault="00750CA0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2）肝肾功能、电解质、血糖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；</w:t>
      </w:r>
    </w:p>
    <w:p w:rsidR="002F07B8" w:rsidRPr="00DE2B9D" w:rsidRDefault="00750CA0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3）</w:t>
      </w:r>
      <w:r w:rsidR="002F07B8" w:rsidRPr="00DE2B9D">
        <w:rPr>
          <w:rFonts w:ascii="仿宋_GB2312" w:eastAsia="仿宋_GB2312" w:hAnsiTheme="majorEastAsia" w:cs="微软雅黑" w:hint="eastAsia"/>
          <w:sz w:val="32"/>
          <w:szCs w:val="28"/>
        </w:rPr>
        <w:t>血培养、骨髓培养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；</w:t>
      </w:r>
    </w:p>
    <w:p w:rsidR="002F07B8" w:rsidRPr="00DE2B9D" w:rsidRDefault="002F07B8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4）尿培养、便培养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；</w:t>
      </w:r>
    </w:p>
    <w:p w:rsidR="00711B94" w:rsidRPr="00DE2B9D" w:rsidRDefault="002F07B8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5）</w:t>
      </w:r>
      <w:r w:rsidR="00FF5A78" w:rsidRPr="00DE2B9D">
        <w:rPr>
          <w:rFonts w:ascii="仿宋_GB2312" w:eastAsia="仿宋_GB2312" w:hAnsiTheme="majorEastAsia" w:cs="微软雅黑" w:hint="eastAsia"/>
          <w:sz w:val="32"/>
          <w:szCs w:val="28"/>
        </w:rPr>
        <w:t>肥达氏反应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。</w:t>
      </w:r>
    </w:p>
    <w:p w:rsidR="00F5541D" w:rsidRPr="00DE2B9D" w:rsidRDefault="00F5541D" w:rsidP="00DE2B9D">
      <w:pPr>
        <w:ind w:firstLineChars="150" w:firstLine="48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2.根据患者病情进行的检查项目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：</w:t>
      </w:r>
    </w:p>
    <w:p w:rsidR="002F07B8" w:rsidRPr="00DE2B9D" w:rsidRDefault="002F07B8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1）胸部X光片：出现呼吸困难、咳嗽、咳痰等症状者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；</w:t>
      </w:r>
    </w:p>
    <w:p w:rsidR="002F07B8" w:rsidRPr="00DE2B9D" w:rsidRDefault="002F07B8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2）腹部超声</w:t>
      </w:r>
      <w:r w:rsidR="0051555F" w:rsidRPr="00DE2B9D">
        <w:rPr>
          <w:rFonts w:ascii="仿宋_GB2312" w:eastAsia="仿宋_GB2312" w:hAnsiTheme="majorEastAsia" w:cs="微软雅黑" w:hint="eastAsia"/>
          <w:sz w:val="32"/>
          <w:szCs w:val="28"/>
        </w:rPr>
        <w:t>或CT</w:t>
      </w:r>
      <w:r w:rsidR="00451219" w:rsidRPr="00DE2B9D">
        <w:rPr>
          <w:rFonts w:ascii="仿宋_GB2312" w:eastAsia="仿宋_GB2312" w:hAnsiTheme="majorEastAsia" w:cs="微软雅黑" w:hint="eastAsia"/>
          <w:sz w:val="32"/>
          <w:szCs w:val="28"/>
        </w:rPr>
        <w:t>：出现肝肾功能异常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或者便血腹痛等</w:t>
      </w:r>
      <w:r w:rsidR="0051555F" w:rsidRPr="00DE2B9D">
        <w:rPr>
          <w:rFonts w:ascii="仿宋_GB2312" w:eastAsia="仿宋_GB2312" w:hAnsiTheme="majorEastAsia" w:cs="微软雅黑" w:hint="eastAsia"/>
          <w:sz w:val="32"/>
          <w:szCs w:val="28"/>
        </w:rPr>
        <w:t>疑似肠出血肠穿孔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者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；</w:t>
      </w:r>
    </w:p>
    <w:p w:rsidR="00D72960" w:rsidRPr="00DE2B9D" w:rsidRDefault="002F07B8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3）</w:t>
      </w:r>
      <w:r w:rsidR="00D72960" w:rsidRPr="00DE2B9D">
        <w:rPr>
          <w:rFonts w:ascii="仿宋_GB2312" w:eastAsia="仿宋_GB2312" w:hAnsiTheme="majorEastAsia" w:cs="微软雅黑" w:hint="eastAsia"/>
          <w:sz w:val="32"/>
          <w:szCs w:val="28"/>
        </w:rPr>
        <w:t>心电图和心肌酶：若患者出现心悸、心律失常等需检查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；</w:t>
      </w:r>
    </w:p>
    <w:p w:rsidR="002F07B8" w:rsidRPr="00DE2B9D" w:rsidRDefault="00D72960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4）</w:t>
      </w:r>
      <w:r w:rsidR="002F07B8" w:rsidRPr="00DE2B9D">
        <w:rPr>
          <w:rFonts w:ascii="仿宋_GB2312" w:eastAsia="仿宋_GB2312" w:hAnsiTheme="majorEastAsia" w:cs="微软雅黑" w:hint="eastAsia"/>
          <w:sz w:val="32"/>
          <w:szCs w:val="28"/>
        </w:rPr>
        <w:t>超声心动图：心电图或心肌酶有异常者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；</w:t>
      </w:r>
    </w:p>
    <w:p w:rsidR="00711B94" w:rsidRPr="00DE2B9D" w:rsidRDefault="0042118F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5</w:t>
      </w:r>
      <w:r w:rsidR="002F07B8" w:rsidRPr="00DE2B9D">
        <w:rPr>
          <w:rFonts w:ascii="仿宋_GB2312" w:eastAsia="仿宋_GB2312" w:hAnsiTheme="majorEastAsia" w:cs="微软雅黑" w:hint="eastAsia"/>
          <w:sz w:val="32"/>
          <w:szCs w:val="28"/>
        </w:rPr>
        <w:t>）头颅CT：出现高热惊厥或其他意识障碍者</w:t>
      </w:r>
      <w:r w:rsidR="00DE2B9D">
        <w:rPr>
          <w:rFonts w:ascii="仿宋_GB2312" w:eastAsia="仿宋_GB2312" w:hAnsiTheme="majorEastAsia" w:cs="微软雅黑" w:hint="eastAsia"/>
          <w:sz w:val="32"/>
          <w:szCs w:val="28"/>
        </w:rPr>
        <w:t>。</w:t>
      </w:r>
    </w:p>
    <w:p w:rsidR="00F5541D" w:rsidRPr="00626C5D" w:rsidRDefault="00F5541D" w:rsidP="00650860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（六）治疗方案的选择。</w:t>
      </w:r>
    </w:p>
    <w:p w:rsidR="00F5541D" w:rsidRPr="00DE2B9D" w:rsidRDefault="003C1EC3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1、一般治疗</w:t>
      </w:r>
    </w:p>
    <w:p w:rsidR="003C1EC3" w:rsidRPr="00DE2B9D" w:rsidRDefault="003C1EC3" w:rsidP="00DE2B9D">
      <w:pPr>
        <w:widowControl/>
        <w:autoSpaceDE w:val="0"/>
        <w:autoSpaceDN w:val="0"/>
        <w:adjustRightInd w:val="0"/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1）病人应按</w:t>
      </w:r>
      <w:bookmarkStart w:id="0" w:name="_GoBack"/>
      <w:bookmarkEnd w:id="0"/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消化道传染病隔离，临床症状消失后每隔5～7天送检粪便培养，连续2次阴性可解除隔离发热期病人必须卧床休息，退热后2～3天可在床上稍坐，退热后2周可轻度活动。</w:t>
      </w:r>
    </w:p>
    <w:p w:rsidR="003C1EC3" w:rsidRPr="00DE2B9D" w:rsidRDefault="003C1EC3" w:rsidP="00DE2B9D">
      <w:pPr>
        <w:widowControl/>
        <w:autoSpaceDE w:val="0"/>
        <w:autoSpaceDN w:val="0"/>
        <w:adjustRightInd w:val="0"/>
        <w:ind w:firstLineChars="250" w:firstLine="80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lastRenderedPageBreak/>
        <w:t>2）应给予高热量高营养，易消化的饮食，包括足量碳水化合物蛋白质及各种</w:t>
      </w:r>
      <w:hyperlink r:id="rId10" w:history="1">
        <w:r w:rsidRPr="00DE2B9D">
          <w:rPr>
            <w:rFonts w:ascii="仿宋_GB2312" w:eastAsia="仿宋_GB2312" w:hAnsiTheme="majorEastAsia" w:cs="微软雅黑" w:hint="eastAsia"/>
            <w:sz w:val="32"/>
            <w:szCs w:val="28"/>
          </w:rPr>
          <w:t>维生素</w:t>
        </w:r>
      </w:hyperlink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。退热后食欲增加后，可逐渐进稀饭，软饭忌吃坚硬多渣食物，以免诱发肠出血和肠穿孔，一般退热后2周才恢复正常饮食。</w:t>
      </w:r>
    </w:p>
    <w:p w:rsidR="003C1EC3" w:rsidRPr="00DE2B9D" w:rsidRDefault="003C1EC3" w:rsidP="00DE2B9D">
      <w:pPr>
        <w:widowControl/>
        <w:autoSpaceDE w:val="0"/>
        <w:autoSpaceDN w:val="0"/>
        <w:adjustRightInd w:val="0"/>
        <w:ind w:firstLineChars="250" w:firstLine="80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3）有严重毒血症者可在足量有效抗菌治疗配合下使用激素。</w:t>
      </w:r>
    </w:p>
    <w:p w:rsidR="00711B94" w:rsidRPr="00DE2B9D" w:rsidRDefault="00EC0BBC" w:rsidP="00DE2B9D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2、抗菌素治疗：</w:t>
      </w:r>
    </w:p>
    <w:p w:rsidR="00EC0BBC" w:rsidRPr="00DE2B9D" w:rsidRDefault="00EC0BBC" w:rsidP="00DE2B9D">
      <w:pPr>
        <w:ind w:firstLineChars="250" w:firstLine="80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1）喹诺酮类药物治疗</w:t>
      </w:r>
    </w:p>
    <w:p w:rsidR="00EC0BBC" w:rsidRPr="00DE2B9D" w:rsidRDefault="00EC0BBC" w:rsidP="00DE2B9D">
      <w:pPr>
        <w:ind w:firstLineChars="250" w:firstLine="80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环丙沙星，剂量：500mg每日两次或每8小时一次口服或静滴，疗程：14天。左氧氟沙星：500mg每日两次或每8小时一次口服或静滴，疗程：14天。</w:t>
      </w:r>
    </w:p>
    <w:p w:rsidR="00A70889" w:rsidRPr="00DE2B9D" w:rsidRDefault="008437A3" w:rsidP="00DE2B9D">
      <w:pPr>
        <w:widowControl/>
        <w:autoSpaceDE w:val="0"/>
        <w:autoSpaceDN w:val="0"/>
        <w:adjustRightInd w:val="0"/>
        <w:ind w:firstLineChars="250" w:firstLine="80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2）</w:t>
      </w:r>
      <w:r w:rsidR="00A70889" w:rsidRPr="00DE2B9D">
        <w:rPr>
          <w:rFonts w:ascii="仿宋_GB2312" w:eastAsia="仿宋_GB2312" w:hAnsiTheme="majorEastAsia" w:cs="微软雅黑" w:hint="eastAsia"/>
          <w:sz w:val="32"/>
          <w:szCs w:val="28"/>
        </w:rPr>
        <w:t>头孢菌素类</w:t>
      </w:r>
      <w:r w:rsidR="00A70889" w:rsidRPr="00DE2B9D">
        <w:rPr>
          <w:rFonts w:ascii="仿宋_GB2312" w:eastAsia="仿宋_GB2312" w:hAnsiTheme="majorEastAsia" w:cs="微软雅黑" w:hint="eastAsia"/>
          <w:sz w:val="32"/>
          <w:szCs w:val="28"/>
        </w:rPr>
        <w:t> </w:t>
      </w:r>
    </w:p>
    <w:p w:rsidR="00A70889" w:rsidRPr="00DE2B9D" w:rsidRDefault="00A70889" w:rsidP="00DE2B9D">
      <w:pPr>
        <w:widowControl/>
        <w:autoSpaceDE w:val="0"/>
        <w:autoSpaceDN w:val="0"/>
        <w:adjustRightInd w:val="0"/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适用于</w:t>
      </w:r>
      <w:hyperlink r:id="rId11" w:history="1">
        <w:r w:rsidRPr="00DE2B9D">
          <w:rPr>
            <w:rFonts w:ascii="仿宋_GB2312" w:eastAsia="仿宋_GB2312" w:hAnsiTheme="majorEastAsia" w:cs="微软雅黑" w:hint="eastAsia"/>
            <w:sz w:val="32"/>
            <w:szCs w:val="28"/>
          </w:rPr>
          <w:t>孕妇</w:t>
        </w:r>
      </w:hyperlink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儿童、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哺乳期妇女以及氯霉素耐药菌所致伤寒。可用头孢三嗪剂量：成人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2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g，每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24小时一次；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儿童每天100mg/kg疗程：14天。头孢噻肟，剂量：成人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1-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2g，每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8-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12小时一次，儿童每天100～150mg/kg，疗程：14天。</w:t>
      </w:r>
    </w:p>
    <w:p w:rsidR="00A70889" w:rsidRPr="00DE2B9D" w:rsidRDefault="00A70889" w:rsidP="00787635">
      <w:pPr>
        <w:widowControl/>
        <w:autoSpaceDE w:val="0"/>
        <w:autoSpaceDN w:val="0"/>
        <w:adjustRightInd w:val="0"/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3、</w:t>
      </w:r>
      <w:hyperlink r:id="rId12" w:history="1">
        <w:r w:rsidRPr="00DE2B9D">
          <w:rPr>
            <w:rFonts w:ascii="仿宋_GB2312" w:eastAsia="仿宋_GB2312" w:hAnsiTheme="majorEastAsia" w:cs="微软雅黑" w:hint="eastAsia"/>
            <w:sz w:val="32"/>
            <w:szCs w:val="28"/>
          </w:rPr>
          <w:t>氯霉素</w:t>
        </w:r>
      </w:hyperlink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 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剂量：为每天25mg/kg分2～4次口服或静脉滴注，体温正常后，剂量减半疗程：两周。注意事项：①新生儿，孕妇肝功能明显损害者忌用；②注意毒副作用，经常复查血象，白细胞低于2500/mm3时停药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。目前应用较少。</w:t>
      </w:r>
    </w:p>
    <w:p w:rsidR="00A70889" w:rsidRPr="00DE2B9D" w:rsidRDefault="00A70889" w:rsidP="00787635">
      <w:pPr>
        <w:widowControl/>
        <w:autoSpaceDE w:val="0"/>
        <w:autoSpaceDN w:val="0"/>
        <w:adjustRightInd w:val="0"/>
        <w:ind w:firstLineChars="250" w:firstLine="80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4、氨苄（或阿莫）西林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 </w:t>
      </w:r>
    </w:p>
    <w:p w:rsidR="00A70889" w:rsidRPr="00DE2B9D" w:rsidRDefault="00A70889" w:rsidP="00650860">
      <w:pPr>
        <w:widowControl/>
        <w:autoSpaceDE w:val="0"/>
        <w:autoSpaceDN w:val="0"/>
        <w:adjustRightInd w:val="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lastRenderedPageBreak/>
        <w:t> 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剂量：成人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2-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6g/d儿童每天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100-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150mg/kg，分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3-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4次口服或静脉滴注。阿莫西</w:t>
      </w:r>
      <w:hyperlink r:id="rId13" w:history="1">
        <w:r w:rsidRPr="00DE2B9D">
          <w:rPr>
            <w:rFonts w:ascii="仿宋_GB2312" w:eastAsia="仿宋_GB2312" w:hAnsiTheme="majorEastAsia" w:cs="微软雅黑" w:hint="eastAsia"/>
            <w:sz w:val="32"/>
            <w:szCs w:val="28"/>
          </w:rPr>
          <w:t>林成人</w:t>
        </w:r>
      </w:hyperlink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2-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4g/天分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3-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4次口服，疗程：14天。</w:t>
      </w:r>
    </w:p>
    <w:p w:rsidR="00EC0BBC" w:rsidRPr="00787635" w:rsidRDefault="00A70889" w:rsidP="00787635">
      <w:pPr>
        <w:widowControl/>
        <w:autoSpaceDE w:val="0"/>
        <w:autoSpaceDN w:val="0"/>
        <w:adjustRightInd w:val="0"/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5、复方新诺明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 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剂量：成人2片每日两次，儿童每天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SMZ40-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50mg/kg，</w:t>
      </w:r>
      <w:r w:rsidR="008437A3" w:rsidRPr="00DE2B9D">
        <w:rPr>
          <w:rFonts w:ascii="仿宋_GB2312" w:eastAsia="仿宋_GB2312" w:hAnsiTheme="majorEastAsia" w:cs="微软雅黑" w:hint="eastAsia"/>
          <w:sz w:val="32"/>
          <w:szCs w:val="28"/>
        </w:rPr>
        <w:t>TM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P10mg/kg</w:t>
      </w:r>
      <w:r w:rsidR="002B6D7C" w:rsidRPr="00DE2B9D">
        <w:rPr>
          <w:rFonts w:ascii="仿宋_GB2312" w:eastAsia="仿宋_GB2312" w:hAnsiTheme="majorEastAsia" w:cs="微软雅黑" w:hint="eastAsia"/>
          <w:sz w:val="32"/>
          <w:szCs w:val="28"/>
        </w:rPr>
        <w:t xml:space="preserve"> </w:t>
      </w:r>
      <w:r w:rsidRPr="00DE2B9D">
        <w:rPr>
          <w:rFonts w:ascii="仿宋_GB2312" w:eastAsia="仿宋_GB2312" w:hAnsiTheme="majorEastAsia" w:cs="微软雅黑" w:hint="eastAsia"/>
          <w:sz w:val="32"/>
          <w:szCs w:val="28"/>
        </w:rPr>
        <w:t>一日二次，疗程：14天。</w:t>
      </w:r>
    </w:p>
    <w:p w:rsidR="00F5541D" w:rsidRPr="00626C5D" w:rsidRDefault="00F5541D" w:rsidP="00650860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（七）预防性抗菌药物选择与使用时机。</w:t>
      </w:r>
    </w:p>
    <w:p w:rsidR="00711B94" w:rsidRPr="00787635" w:rsidRDefault="002B6D7C" w:rsidP="00650860">
      <w:pPr>
        <w:rPr>
          <w:rFonts w:ascii="仿宋_GB2312" w:eastAsia="仿宋_GB2312" w:hAnsiTheme="majorEastAsia" w:cs="微软雅黑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787635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="00152C52" w:rsidRPr="00787635">
        <w:rPr>
          <w:rFonts w:ascii="仿宋_GB2312" w:eastAsia="仿宋_GB2312" w:hAnsiTheme="majorEastAsia" w:cs="微软雅黑" w:hint="eastAsia"/>
          <w:sz w:val="32"/>
          <w:szCs w:val="28"/>
        </w:rPr>
        <w:t>无需预防性应用抗菌药物。</w:t>
      </w:r>
    </w:p>
    <w:p w:rsidR="00F5541D" w:rsidRPr="00626C5D" w:rsidRDefault="00525BD1" w:rsidP="00650860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（八</w:t>
      </w:r>
      <w:r w:rsidR="00F5541D" w:rsidRPr="00626C5D">
        <w:rPr>
          <w:rFonts w:ascii="楷体_GB2312" w:eastAsia="楷体_GB2312" w:hAnsi="宋体" w:hint="eastAsia"/>
          <w:b/>
          <w:sz w:val="32"/>
          <w:szCs w:val="32"/>
        </w:rPr>
        <w:t>）出院标准。</w:t>
      </w:r>
    </w:p>
    <w:p w:rsidR="00E820E4" w:rsidRPr="00787635" w:rsidRDefault="002B6D7C" w:rsidP="00650860">
      <w:pPr>
        <w:rPr>
          <w:rFonts w:ascii="仿宋_GB2312" w:eastAsia="仿宋_GB2312" w:hAnsiTheme="majorEastAsia" w:cs="微软雅黑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="0078763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E820E4" w:rsidRPr="00787635">
        <w:rPr>
          <w:rFonts w:ascii="仿宋_GB2312" w:eastAsia="仿宋_GB2312" w:hAnsiTheme="majorEastAsia" w:cs="微软雅黑"/>
          <w:sz w:val="32"/>
          <w:szCs w:val="28"/>
        </w:rPr>
        <w:t>治疗至临床症状完全消失后 2 周或临床症状消失、停药一周后,粪检 2 次阴性(2 次之间隔 2-3 天)方可出院</w:t>
      </w:r>
      <w:r w:rsidR="00E820E4" w:rsidRPr="00787635">
        <w:rPr>
          <w:rFonts w:ascii="仿宋_GB2312" w:eastAsia="仿宋_GB2312" w:hAnsiTheme="majorEastAsia" w:cs="微软雅黑" w:hint="eastAsia"/>
          <w:sz w:val="32"/>
          <w:szCs w:val="28"/>
        </w:rPr>
        <w:t>。</w:t>
      </w:r>
    </w:p>
    <w:p w:rsidR="00F5541D" w:rsidRPr="00626C5D" w:rsidRDefault="00525BD1" w:rsidP="00650860">
      <w:pPr>
        <w:adjustRightInd w:val="0"/>
        <w:snapToGrid w:val="0"/>
        <w:spacing w:line="360" w:lineRule="auto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（九</w:t>
      </w:r>
      <w:r w:rsidR="00F5541D" w:rsidRPr="00626C5D">
        <w:rPr>
          <w:rFonts w:ascii="楷体_GB2312" w:eastAsia="楷体_GB2312" w:hAnsi="宋体" w:hint="eastAsia"/>
          <w:b/>
          <w:sz w:val="32"/>
          <w:szCs w:val="32"/>
        </w:rPr>
        <w:t>）变异及原因分析。</w:t>
      </w:r>
    </w:p>
    <w:p w:rsidR="00525BD1" w:rsidRPr="00787635" w:rsidRDefault="00787635" w:rsidP="00787635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>
        <w:rPr>
          <w:rFonts w:ascii="仿宋_GB2312" w:eastAsia="仿宋_GB2312" w:hAnsiTheme="majorEastAsia" w:cs="微软雅黑" w:hint="eastAsia"/>
          <w:sz w:val="32"/>
          <w:szCs w:val="28"/>
        </w:rPr>
        <w:t>1.</w:t>
      </w:r>
      <w:r w:rsidR="00525BD1" w:rsidRPr="00787635">
        <w:rPr>
          <w:rFonts w:ascii="仿宋_GB2312" w:eastAsia="仿宋_GB2312" w:hAnsiTheme="majorEastAsia" w:cs="微软雅黑" w:hint="eastAsia"/>
          <w:sz w:val="32"/>
          <w:szCs w:val="28"/>
        </w:rPr>
        <w:t>治疗无效或病情进展，须重复病原学检查，调整治疗药物，导致住院时间延长；</w:t>
      </w:r>
    </w:p>
    <w:p w:rsidR="00F543B5" w:rsidRPr="00787635" w:rsidRDefault="00787635" w:rsidP="00787635">
      <w:pPr>
        <w:ind w:firstLineChars="200" w:firstLine="640"/>
        <w:rPr>
          <w:rFonts w:ascii="仿宋_GB2312" w:eastAsia="仿宋_GB2312" w:hAnsiTheme="majorEastAsia" w:cs="微软雅黑"/>
          <w:sz w:val="32"/>
          <w:szCs w:val="28"/>
        </w:rPr>
      </w:pPr>
      <w:r>
        <w:rPr>
          <w:rFonts w:ascii="仿宋_GB2312" w:eastAsia="仿宋_GB2312" w:hAnsiTheme="majorEastAsia" w:cs="微软雅黑" w:hint="eastAsia"/>
          <w:sz w:val="32"/>
          <w:szCs w:val="28"/>
        </w:rPr>
        <w:t>2.</w:t>
      </w:r>
      <w:r w:rsidR="00525BD1" w:rsidRPr="00787635">
        <w:rPr>
          <w:rFonts w:ascii="仿宋_GB2312" w:eastAsia="仿宋_GB2312" w:hAnsiTheme="majorEastAsia" w:cs="微软雅黑" w:hint="eastAsia"/>
          <w:sz w:val="32"/>
          <w:szCs w:val="28"/>
        </w:rPr>
        <w:t>患者具有</w:t>
      </w:r>
      <w:r w:rsidR="00E820E4" w:rsidRPr="00787635">
        <w:rPr>
          <w:rFonts w:ascii="仿宋_GB2312" w:eastAsia="仿宋_GB2312" w:hAnsiTheme="majorEastAsia" w:cs="微软雅黑" w:hint="eastAsia"/>
          <w:sz w:val="32"/>
          <w:szCs w:val="28"/>
        </w:rPr>
        <w:t>肠出血肠穿孔或心肌炎肝炎等</w:t>
      </w:r>
      <w:r w:rsidR="00525BD1" w:rsidRPr="00787635">
        <w:rPr>
          <w:rFonts w:ascii="仿宋_GB2312" w:eastAsia="仿宋_GB2312" w:hAnsiTheme="majorEastAsia" w:cs="微软雅黑" w:hint="eastAsia"/>
          <w:sz w:val="32"/>
          <w:szCs w:val="28"/>
        </w:rPr>
        <w:t>合并症</w:t>
      </w:r>
      <w:r w:rsidR="00E820E4" w:rsidRPr="00787635">
        <w:rPr>
          <w:rFonts w:ascii="仿宋_GB2312" w:eastAsia="仿宋_GB2312" w:hAnsiTheme="majorEastAsia" w:cs="微软雅黑" w:hint="eastAsia"/>
          <w:sz w:val="32"/>
          <w:szCs w:val="28"/>
        </w:rPr>
        <w:t>时</w:t>
      </w:r>
      <w:r w:rsidR="00525BD1" w:rsidRPr="00787635">
        <w:rPr>
          <w:rFonts w:ascii="仿宋_GB2312" w:eastAsia="仿宋_GB2312" w:hAnsiTheme="majorEastAsia" w:cs="微软雅黑" w:hint="eastAsia"/>
          <w:sz w:val="32"/>
          <w:szCs w:val="28"/>
        </w:rPr>
        <w:t>，需给予</w:t>
      </w:r>
      <w:r w:rsidR="00E820E4" w:rsidRPr="00787635">
        <w:rPr>
          <w:rFonts w:ascii="仿宋_GB2312" w:eastAsia="仿宋_GB2312" w:hAnsiTheme="majorEastAsia" w:cs="微软雅黑" w:hint="eastAsia"/>
          <w:sz w:val="32"/>
          <w:szCs w:val="28"/>
        </w:rPr>
        <w:t>相应</w:t>
      </w:r>
      <w:r w:rsidR="00525BD1" w:rsidRPr="00787635">
        <w:rPr>
          <w:rFonts w:ascii="仿宋_GB2312" w:eastAsia="仿宋_GB2312" w:hAnsiTheme="majorEastAsia" w:cs="微软雅黑" w:hint="eastAsia"/>
          <w:sz w:val="32"/>
          <w:szCs w:val="28"/>
        </w:rPr>
        <w:t>治疗，导致住</w:t>
      </w:r>
      <w:r w:rsidR="00F543B5" w:rsidRPr="00787635">
        <w:rPr>
          <w:rFonts w:ascii="仿宋_GB2312" w:eastAsia="仿宋_GB2312" w:hAnsiTheme="majorEastAsia" w:cs="微软雅黑" w:hint="eastAsia"/>
          <w:sz w:val="32"/>
          <w:szCs w:val="28"/>
        </w:rPr>
        <w:t>院时间延长。</w:t>
      </w:r>
    </w:p>
    <w:p w:rsidR="00F543B5" w:rsidRDefault="00F543B5" w:rsidP="00650860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787635" w:rsidRDefault="00787635" w:rsidP="00650860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787635" w:rsidRDefault="00787635" w:rsidP="00650860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787635" w:rsidRDefault="00787635" w:rsidP="00650860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787635" w:rsidRDefault="00787635" w:rsidP="00650860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787635" w:rsidRDefault="00787635" w:rsidP="00650860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787635" w:rsidRDefault="00787635" w:rsidP="00650860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E93357" w:rsidRDefault="00E93357" w:rsidP="00650860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787635">
        <w:rPr>
          <w:rFonts w:ascii="黑体" w:eastAsia="黑体" w:hAnsi="黑体" w:hint="eastAsia"/>
          <w:sz w:val="32"/>
          <w:szCs w:val="32"/>
        </w:rPr>
        <w:t>伤寒</w:t>
      </w:r>
      <w:r>
        <w:rPr>
          <w:rFonts w:ascii="黑体" w:eastAsia="黑体" w:hAnsi="黑体" w:hint="eastAsia"/>
          <w:sz w:val="32"/>
          <w:szCs w:val="32"/>
        </w:rPr>
        <w:t>临床路径</w:t>
      </w:r>
      <w:r w:rsidRPr="00711B94">
        <w:rPr>
          <w:rFonts w:ascii="黑体" w:eastAsia="黑体" w:hAnsi="黑体" w:hint="eastAsia"/>
          <w:sz w:val="32"/>
          <w:szCs w:val="32"/>
        </w:rPr>
        <w:t>表单</w:t>
      </w:r>
    </w:p>
    <w:p w:rsidR="00E93357" w:rsidRPr="00787635" w:rsidRDefault="00E93357" w:rsidP="00787635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  <w:r w:rsidRPr="00787635">
        <w:rPr>
          <w:rFonts w:asciiTheme="minorEastAsia" w:eastAsiaTheme="minorEastAsia" w:hAnsiTheme="minorEastAsia" w:hint="eastAsia"/>
          <w:szCs w:val="21"/>
        </w:rPr>
        <w:t>适用对象：第一诊断_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>伤寒</w:t>
      </w:r>
      <w:r w:rsidRPr="00787635">
        <w:rPr>
          <w:rFonts w:asciiTheme="minorEastAsia" w:eastAsiaTheme="minorEastAsia" w:hAnsiTheme="minorEastAsia"/>
          <w:szCs w:val="21"/>
        </w:rPr>
        <w:t>（ICD</w:t>
      </w:r>
      <w:r w:rsidRPr="00787635">
        <w:rPr>
          <w:rFonts w:asciiTheme="minorEastAsia" w:eastAsiaTheme="minorEastAsia" w:hAnsiTheme="minorEastAsia" w:hint="eastAsia"/>
          <w:szCs w:val="21"/>
        </w:rPr>
        <w:t>-</w:t>
      </w:r>
      <w:r w:rsidRPr="00787635">
        <w:rPr>
          <w:rFonts w:asciiTheme="minorEastAsia" w:eastAsiaTheme="minorEastAsia" w:hAnsiTheme="minorEastAsia"/>
          <w:szCs w:val="21"/>
        </w:rPr>
        <w:t>10：</w:t>
      </w:r>
      <w:r w:rsidRPr="00787635">
        <w:rPr>
          <w:rFonts w:asciiTheme="minorEastAsia" w:eastAsiaTheme="minorEastAsia" w:hAnsiTheme="minorEastAsia" w:cs="Arial"/>
          <w:color w:val="333333"/>
          <w:szCs w:val="21"/>
          <w:shd w:val="clear" w:color="auto" w:fill="FFFFFF"/>
        </w:rPr>
        <w:t>A</w:t>
      </w:r>
      <w:r w:rsidRPr="00787635">
        <w:rPr>
          <w:rFonts w:asciiTheme="minorEastAsia" w:eastAsiaTheme="minorEastAsia" w:hAnsiTheme="minorEastAsia" w:cs="Arial" w:hint="eastAsia"/>
          <w:color w:val="333333"/>
          <w:szCs w:val="21"/>
          <w:shd w:val="clear" w:color="auto" w:fill="FFFFFF"/>
        </w:rPr>
        <w:t>01。001</w:t>
      </w:r>
      <w:r w:rsidRPr="00787635">
        <w:rPr>
          <w:rFonts w:asciiTheme="minorEastAsia" w:eastAsiaTheme="minorEastAsia" w:hAnsiTheme="minorEastAsia"/>
          <w:szCs w:val="21"/>
        </w:rPr>
        <w:t>）</w:t>
      </w:r>
      <w:r w:rsidRPr="00787635">
        <w:rPr>
          <w:rFonts w:asciiTheme="minorEastAsia" w:eastAsiaTheme="minorEastAsia" w:hAnsiTheme="minorEastAsia" w:hint="eastAsia"/>
          <w:szCs w:val="21"/>
        </w:rPr>
        <w:t>；</w:t>
      </w:r>
      <w:r w:rsidRPr="00787635">
        <w:rPr>
          <w:rFonts w:asciiTheme="minorEastAsia" w:eastAsiaTheme="minorEastAsia" w:hAnsiTheme="minorEastAsia"/>
          <w:szCs w:val="21"/>
        </w:rPr>
        <w:t xml:space="preserve"> </w:t>
      </w:r>
    </w:p>
    <w:p w:rsidR="00E93357" w:rsidRPr="00787635" w:rsidRDefault="00E93357" w:rsidP="00787635">
      <w:pPr>
        <w:rPr>
          <w:rFonts w:asciiTheme="minorEastAsia" w:eastAsiaTheme="minorEastAsia" w:hAnsiTheme="minorEastAsia"/>
          <w:szCs w:val="21"/>
          <w:u w:val="single"/>
        </w:rPr>
      </w:pPr>
      <w:r w:rsidRPr="00787635">
        <w:rPr>
          <w:rFonts w:asciiTheme="minorEastAsia" w:eastAsiaTheme="minorEastAsia" w:hAnsiTheme="minorEastAsia" w:hint="eastAsia"/>
          <w:szCs w:val="21"/>
        </w:rPr>
        <w:t xml:space="preserve">患者姓名  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         </w:t>
      </w:r>
      <w:r w:rsidRPr="00787635">
        <w:rPr>
          <w:rFonts w:asciiTheme="minorEastAsia" w:eastAsiaTheme="minorEastAsia" w:hAnsiTheme="minorEastAsia" w:hint="eastAsia"/>
          <w:szCs w:val="21"/>
        </w:rPr>
        <w:t>性别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787635">
        <w:rPr>
          <w:rFonts w:asciiTheme="minorEastAsia" w:eastAsiaTheme="minorEastAsia" w:hAnsiTheme="minorEastAsia" w:hint="eastAsia"/>
          <w:szCs w:val="21"/>
        </w:rPr>
        <w:t>年龄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787635">
        <w:rPr>
          <w:rFonts w:asciiTheme="minorEastAsia" w:eastAsiaTheme="minorEastAsia" w:hAnsiTheme="minorEastAsia" w:hint="eastAsia"/>
          <w:szCs w:val="21"/>
        </w:rPr>
        <w:t>门诊号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Pr="00787635">
        <w:rPr>
          <w:rFonts w:asciiTheme="minorEastAsia" w:eastAsiaTheme="minorEastAsia" w:hAnsiTheme="minorEastAsia" w:hint="eastAsia"/>
          <w:szCs w:val="21"/>
        </w:rPr>
        <w:t>住院号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</w:p>
    <w:p w:rsidR="00E93357" w:rsidRPr="00787635" w:rsidRDefault="00E93357" w:rsidP="00787635">
      <w:pPr>
        <w:rPr>
          <w:rFonts w:asciiTheme="minorEastAsia" w:eastAsiaTheme="minorEastAsia" w:hAnsiTheme="minorEastAsia"/>
          <w:szCs w:val="21"/>
        </w:rPr>
      </w:pPr>
      <w:r w:rsidRPr="00787635">
        <w:rPr>
          <w:rFonts w:asciiTheme="minorEastAsia" w:eastAsiaTheme="minorEastAsia" w:hAnsiTheme="minorEastAsia" w:hint="eastAsia"/>
          <w:szCs w:val="21"/>
        </w:rPr>
        <w:t xml:space="preserve">住院日期  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787635">
        <w:rPr>
          <w:rFonts w:asciiTheme="minorEastAsia" w:eastAsiaTheme="minorEastAsia" w:hAnsiTheme="minorEastAsia" w:hint="eastAsia"/>
          <w:szCs w:val="21"/>
        </w:rPr>
        <w:t>年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787635">
        <w:rPr>
          <w:rFonts w:asciiTheme="minorEastAsia" w:eastAsiaTheme="minorEastAsia" w:hAnsiTheme="minorEastAsia" w:hint="eastAsia"/>
          <w:szCs w:val="21"/>
        </w:rPr>
        <w:t>月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787635">
        <w:rPr>
          <w:rFonts w:asciiTheme="minorEastAsia" w:eastAsiaTheme="minorEastAsia" w:hAnsiTheme="minorEastAsia" w:hint="eastAsia"/>
          <w:szCs w:val="21"/>
        </w:rPr>
        <w:t xml:space="preserve">日   出院日期  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787635">
        <w:rPr>
          <w:rFonts w:asciiTheme="minorEastAsia" w:eastAsiaTheme="minorEastAsia" w:hAnsiTheme="minorEastAsia" w:hint="eastAsia"/>
          <w:szCs w:val="21"/>
        </w:rPr>
        <w:t>年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787635">
        <w:rPr>
          <w:rFonts w:asciiTheme="minorEastAsia" w:eastAsiaTheme="minorEastAsia" w:hAnsiTheme="minorEastAsia" w:hint="eastAsia"/>
          <w:szCs w:val="21"/>
        </w:rPr>
        <w:t>月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Pr="00787635">
        <w:rPr>
          <w:rFonts w:asciiTheme="minorEastAsia" w:eastAsiaTheme="minorEastAsia" w:hAnsiTheme="minorEastAsia" w:hint="eastAsia"/>
          <w:szCs w:val="21"/>
        </w:rPr>
        <w:t>日  标准住院日</w:t>
      </w:r>
      <w:r w:rsidRPr="00787635">
        <w:rPr>
          <w:rFonts w:asciiTheme="minorEastAsia" w:eastAsiaTheme="minorEastAsia" w:hAnsiTheme="minorEastAsia" w:hint="eastAsia"/>
          <w:szCs w:val="21"/>
          <w:u w:val="single"/>
        </w:rPr>
        <w:t xml:space="preserve">   14-21   </w:t>
      </w:r>
      <w:r w:rsidRPr="00787635">
        <w:rPr>
          <w:rFonts w:asciiTheme="minorEastAsia" w:eastAsiaTheme="minorEastAsia" w:hAnsiTheme="minorEastAsia" w:hint="eastAsia"/>
          <w:szCs w:val="21"/>
        </w:rPr>
        <w:t>天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2770"/>
        <w:gridCol w:w="2893"/>
        <w:gridCol w:w="2480"/>
      </w:tblGrid>
      <w:tr w:rsidR="00E93357" w:rsidRPr="0012393F" w:rsidTr="001319EA">
        <w:trPr>
          <w:cantSplit/>
          <w:trHeight w:val="577"/>
          <w:jc w:val="center"/>
        </w:trPr>
        <w:tc>
          <w:tcPr>
            <w:tcW w:w="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357" w:rsidRPr="00A33557" w:rsidRDefault="00E93357" w:rsidP="0065086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357" w:rsidRPr="00A33557" w:rsidRDefault="00E93357" w:rsidP="0065086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住院第１天</w:t>
            </w: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357" w:rsidRPr="00A33557" w:rsidRDefault="00E93357" w:rsidP="00650860">
            <w:pPr>
              <w:spacing w:line="360" w:lineRule="auto"/>
              <w:rPr>
                <w:rFonts w:ascii="黑体" w:eastAsia="黑体" w:hAnsi="黑体"/>
                <w:szCs w:val="21"/>
                <w:u w:val="single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住院第２-6天</w:t>
            </w: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357" w:rsidRPr="00A33557" w:rsidRDefault="00E93357" w:rsidP="00650860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住院第7日</w:t>
            </w:r>
          </w:p>
        </w:tc>
      </w:tr>
      <w:tr w:rsidR="00E93357" w:rsidRPr="0012393F" w:rsidTr="001319EA">
        <w:trPr>
          <w:cantSplit/>
          <w:trHeight w:val="1061"/>
          <w:jc w:val="center"/>
        </w:trPr>
        <w:tc>
          <w:tcPr>
            <w:tcW w:w="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诊</w:t>
            </w:r>
          </w:p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疗</w:t>
            </w:r>
          </w:p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工</w:t>
            </w:r>
          </w:p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询问病史及体格检查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进行病情初步评估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上级医师查房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评估基础疾病等危险因素，进行对症支持治疗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开具化验单，完成病历书写</w:t>
            </w: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进行病情初步评估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上级医师查房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完成病历书写</w:t>
            </w:r>
          </w:p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进行病情初步评估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/>
                <w:szCs w:val="21"/>
              </w:rPr>
              <w:t>完成三级查房</w:t>
            </w:r>
          </w:p>
          <w:p w:rsidR="00E93357" w:rsidRPr="00A33557" w:rsidRDefault="00E93357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  <w:p w:rsidR="00E93357" w:rsidRPr="00A33557" w:rsidRDefault="00E93357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  <w:p w:rsidR="00E93357" w:rsidRPr="00A33557" w:rsidRDefault="00E93357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  <w:p w:rsidR="00E93357" w:rsidRPr="00A33557" w:rsidRDefault="00E93357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  <w:p w:rsidR="00E93357" w:rsidRPr="00A33557" w:rsidRDefault="00E93357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357" w:rsidRPr="0012393F" w:rsidTr="001319EA">
        <w:trPr>
          <w:cantSplit/>
          <w:trHeight w:val="577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重</w:t>
            </w:r>
          </w:p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点</w:t>
            </w:r>
          </w:p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医</w:t>
            </w:r>
          </w:p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长期医嘱：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内科护理常规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护级别理（根据病情）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对症支持治疗</w:t>
            </w:r>
          </w:p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临时医嘱：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血常规，尿常规，便常规</w:t>
            </w:r>
          </w:p>
          <w:p w:rsidR="00E93357" w:rsidRPr="00A33557" w:rsidRDefault="00C04431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肝功能、肾功能、电解质、血糖、</w:t>
            </w:r>
            <w:r w:rsidR="00E93357" w:rsidRPr="00A33557">
              <w:rPr>
                <w:rFonts w:asciiTheme="minorEastAsia" w:eastAsiaTheme="minorEastAsia" w:hAnsiTheme="minorEastAsia" w:hint="eastAsia"/>
                <w:szCs w:val="21"/>
              </w:rPr>
              <w:t>C反应蛋白，血沉</w:t>
            </w:r>
          </w:p>
          <w:p w:rsidR="00E93357" w:rsidRPr="00A33557" w:rsidRDefault="005817F9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血培养（骨髓培养）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心电图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胸部X线、B超、超声心动图、腹部CT（必要时）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对症处理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长期医嘱</w:t>
            </w:r>
            <w:r w:rsidRPr="00A3355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内科护理常规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级别护理（根据病情）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对症支持治疗</w:t>
            </w:r>
          </w:p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临时医嘱：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对症处理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根据需要开具化验检查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长期医嘱</w:t>
            </w:r>
            <w:r w:rsidRPr="00A3355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E93357" w:rsidRPr="00A33557" w:rsidRDefault="00E93357" w:rsidP="00A33557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内科护理常规</w:t>
            </w:r>
          </w:p>
          <w:p w:rsidR="00E93357" w:rsidRPr="00A33557" w:rsidRDefault="00E93357" w:rsidP="00A33557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级别护理（根据病情）</w:t>
            </w:r>
          </w:p>
          <w:p w:rsidR="000D5CE3" w:rsidRPr="00A33557" w:rsidRDefault="000D5CE3" w:rsidP="00A33557">
            <w:pPr>
              <w:numPr>
                <w:ilvl w:val="0"/>
                <w:numId w:val="6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对症支持治疗</w:t>
            </w:r>
          </w:p>
          <w:p w:rsidR="000D5CE3" w:rsidRPr="00A33557" w:rsidRDefault="000D5CE3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临时医嘱：</w:t>
            </w:r>
          </w:p>
          <w:p w:rsidR="00B13E01" w:rsidRPr="00A33557" w:rsidRDefault="00B13E01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对症处理</w:t>
            </w:r>
          </w:p>
          <w:p w:rsidR="00E93357" w:rsidRPr="00A33557" w:rsidRDefault="00B13E01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根据需要开具化验检查</w:t>
            </w:r>
          </w:p>
        </w:tc>
      </w:tr>
      <w:tr w:rsidR="00E93357" w:rsidRPr="0012393F" w:rsidTr="001319EA">
        <w:trPr>
          <w:cantSplit/>
          <w:trHeight w:val="577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介绍病房环境、设施和设备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入院护理评估，护理计划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随时观察患者情况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静脉取血，用药指导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协助患者完成实验室检查及辅助检查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观察患者一般情况及病情变化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观察治疗效果及药物反应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疾病相关健康教育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观察患者一般情况及病情变化</w:t>
            </w:r>
          </w:p>
          <w:p w:rsidR="00E93357" w:rsidRPr="00A33557" w:rsidRDefault="00E93357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观察治疗效果及药物反应</w:t>
            </w:r>
          </w:p>
        </w:tc>
      </w:tr>
      <w:tr w:rsidR="00E93357" w:rsidRPr="0012393F" w:rsidTr="001319EA">
        <w:trPr>
          <w:cantSplit/>
          <w:trHeight w:val="313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□无  □有，原因：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□无  □有，原因：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□无  □有，原因：</w:t>
            </w:r>
          </w:p>
        </w:tc>
      </w:tr>
      <w:tr w:rsidR="00E93357" w:rsidRPr="0012393F" w:rsidTr="001319EA">
        <w:trPr>
          <w:cantSplit/>
          <w:trHeight w:val="628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护士</w:t>
            </w:r>
          </w:p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ind w:leftChars="-82" w:left="-170" w:hangingChars="1" w:hanging="2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  <w:tr w:rsidR="00E93357" w:rsidRPr="0012393F" w:rsidTr="001319EA">
        <w:trPr>
          <w:trHeight w:val="595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医师</w:t>
            </w:r>
          </w:p>
          <w:p w:rsidR="00E93357" w:rsidRPr="00A33557" w:rsidRDefault="00E93357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357" w:rsidRPr="00A33557" w:rsidRDefault="00E93357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93357" w:rsidRDefault="00E93357" w:rsidP="00650860">
      <w:pPr>
        <w:widowControl/>
        <w:rPr>
          <w:rFonts w:ascii="仿宋" w:eastAsia="仿宋" w:hAnsi="仿宋"/>
          <w:szCs w:val="21"/>
        </w:rPr>
      </w:pPr>
    </w:p>
    <w:p w:rsidR="00E93357" w:rsidRDefault="00E93357" w:rsidP="00650860">
      <w:pPr>
        <w:spacing w:line="360" w:lineRule="auto"/>
        <w:rPr>
          <w:rFonts w:ascii="仿宋" w:eastAsia="仿宋" w:hAnsi="仿宋"/>
          <w:szCs w:val="21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2770"/>
        <w:gridCol w:w="2893"/>
        <w:gridCol w:w="2480"/>
      </w:tblGrid>
      <w:tr w:rsidR="001319EA" w:rsidRPr="0012393F" w:rsidTr="001319EA">
        <w:trPr>
          <w:cantSplit/>
          <w:trHeight w:val="577"/>
          <w:jc w:val="center"/>
        </w:trPr>
        <w:tc>
          <w:tcPr>
            <w:tcW w:w="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lastRenderedPageBreak/>
              <w:t>时间</w:t>
            </w:r>
          </w:p>
        </w:tc>
        <w:tc>
          <w:tcPr>
            <w:tcW w:w="2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住院第2周</w:t>
            </w: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住院第3周</w:t>
            </w: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出院日</w:t>
            </w:r>
          </w:p>
        </w:tc>
      </w:tr>
      <w:tr w:rsidR="001319EA" w:rsidRPr="0012393F" w:rsidTr="001319EA">
        <w:trPr>
          <w:cantSplit/>
          <w:trHeight w:val="1061"/>
          <w:jc w:val="center"/>
        </w:trPr>
        <w:tc>
          <w:tcPr>
            <w:tcW w:w="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诊</w:t>
            </w:r>
          </w:p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疗</w:t>
            </w:r>
          </w:p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工</w:t>
            </w:r>
          </w:p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进行病情初步评估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上级医师查房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完成病程记录</w:t>
            </w:r>
          </w:p>
          <w:p w:rsidR="001319EA" w:rsidRPr="00A33557" w:rsidRDefault="001319EA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进行病情初步评估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上级医师查房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完成病程记录</w:t>
            </w:r>
          </w:p>
          <w:p w:rsidR="001319EA" w:rsidRPr="00A33557" w:rsidRDefault="001319EA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完成出院小结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开具出院证明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向患者交待出院后注意事项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预约复诊日期</w:t>
            </w:r>
          </w:p>
          <w:p w:rsidR="001319EA" w:rsidRPr="00A33557" w:rsidRDefault="001319EA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19EA" w:rsidRPr="0012393F" w:rsidTr="001319EA">
        <w:trPr>
          <w:cantSplit/>
          <w:trHeight w:val="577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重</w:t>
            </w:r>
          </w:p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点</w:t>
            </w:r>
          </w:p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医</w:t>
            </w:r>
          </w:p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长期医嘱：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内科护理常规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护级别理（根据病情）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抗感染治疗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对症支持治疗</w:t>
            </w:r>
          </w:p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临时医嘱：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血常规，尿常规</w:t>
            </w:r>
          </w:p>
          <w:p w:rsidR="00B13E01" w:rsidRPr="00A33557" w:rsidRDefault="00B13E01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粪便培养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肝功能、肾功能、电解质、血沉、C反应蛋白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嘱少渣饮食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长期医嘱：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内科护理常规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护级别理（根据病情）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抗感染治疗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tabs>
                <w:tab w:val="left" w:pos="192"/>
              </w:tabs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对症支持治疗</w:t>
            </w:r>
          </w:p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临时医嘱：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血常规，尿常规</w:t>
            </w:r>
          </w:p>
          <w:p w:rsidR="00B13E01" w:rsidRPr="00A33557" w:rsidRDefault="00B13E01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粪便培养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肝功能、肾功能、电解质、血沉、C反应蛋白</w:t>
            </w:r>
          </w:p>
          <w:p w:rsidR="001319EA" w:rsidRPr="00A33557" w:rsidRDefault="00F543B5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嘱少渣饮食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b/>
                <w:szCs w:val="21"/>
              </w:rPr>
              <w:t>出院医嘱：</w:t>
            </w:r>
          </w:p>
          <w:p w:rsidR="001319EA" w:rsidRPr="00A33557" w:rsidRDefault="001319EA" w:rsidP="00A33557">
            <w:pPr>
              <w:numPr>
                <w:ilvl w:val="0"/>
                <w:numId w:val="6"/>
              </w:numPr>
              <w:tabs>
                <w:tab w:val="clear" w:pos="465"/>
                <w:tab w:val="num" w:pos="360"/>
              </w:tabs>
              <w:ind w:left="360" w:hanging="360"/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出院带药</w:t>
            </w:r>
          </w:p>
          <w:p w:rsidR="001319EA" w:rsidRPr="00A33557" w:rsidRDefault="001319EA" w:rsidP="00A33557">
            <w:pPr>
              <w:numPr>
                <w:ilvl w:val="0"/>
                <w:numId w:val="6"/>
              </w:numPr>
              <w:tabs>
                <w:tab w:val="clear" w:pos="465"/>
                <w:tab w:val="num" w:pos="360"/>
              </w:tabs>
              <w:ind w:left="360" w:hanging="360"/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预约随诊时间</w:t>
            </w:r>
          </w:p>
        </w:tc>
      </w:tr>
      <w:tr w:rsidR="001319EA" w:rsidRPr="0012393F" w:rsidTr="001319EA">
        <w:trPr>
          <w:cantSplit/>
          <w:trHeight w:val="577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观察患者一般情况及病情变化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观察治疗效果及药物反应</w:t>
            </w:r>
          </w:p>
          <w:p w:rsidR="001319EA" w:rsidRPr="00A33557" w:rsidRDefault="001319EA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观察患者一般情况及病情变化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观察治疗效果及药物反应</w:t>
            </w:r>
          </w:p>
          <w:p w:rsidR="001319EA" w:rsidRPr="00A33557" w:rsidRDefault="001319EA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帮助患者办理出院手续</w:t>
            </w:r>
          </w:p>
          <w:p w:rsidR="001319EA" w:rsidRPr="00A33557" w:rsidRDefault="001319EA" w:rsidP="00A3355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出院指导</w:t>
            </w:r>
          </w:p>
          <w:p w:rsidR="001319EA" w:rsidRPr="00A33557" w:rsidRDefault="001319EA" w:rsidP="00A33557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19EA" w:rsidRPr="0012393F" w:rsidTr="001319EA">
        <w:trPr>
          <w:cantSplit/>
          <w:trHeight w:val="313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□无  □有，原因：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□无  □有，原因：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szCs w:val="21"/>
              </w:rPr>
            </w:pPr>
            <w:r w:rsidRPr="00A33557">
              <w:rPr>
                <w:rFonts w:asciiTheme="minorEastAsia" w:eastAsiaTheme="minorEastAsia" w:hAnsiTheme="minorEastAsia" w:hint="eastAsia"/>
                <w:szCs w:val="21"/>
              </w:rPr>
              <w:t>□无  □有，原因：</w:t>
            </w:r>
          </w:p>
        </w:tc>
      </w:tr>
      <w:tr w:rsidR="001319EA" w:rsidRPr="0012393F" w:rsidTr="001319EA">
        <w:trPr>
          <w:cantSplit/>
          <w:trHeight w:val="628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护士</w:t>
            </w:r>
          </w:p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ind w:leftChars="-82" w:left="-170" w:hangingChars="1" w:hanging="2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  <w:tr w:rsidR="001319EA" w:rsidRPr="0012393F" w:rsidTr="001319EA">
        <w:trPr>
          <w:trHeight w:val="595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医师</w:t>
            </w:r>
          </w:p>
          <w:p w:rsidR="001319EA" w:rsidRPr="00A33557" w:rsidRDefault="001319EA" w:rsidP="00A33557">
            <w:pPr>
              <w:rPr>
                <w:rFonts w:ascii="黑体" w:eastAsia="黑体" w:hAnsi="黑体"/>
                <w:szCs w:val="21"/>
              </w:rPr>
            </w:pPr>
            <w:r w:rsidRPr="00A33557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9EA" w:rsidRPr="00A33557" w:rsidRDefault="001319EA" w:rsidP="00A335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93357" w:rsidRDefault="00E93357" w:rsidP="00650860">
      <w:pPr>
        <w:widowControl/>
        <w:rPr>
          <w:rFonts w:ascii="仿宋" w:eastAsia="仿宋" w:hAnsi="仿宋"/>
          <w:szCs w:val="21"/>
        </w:rPr>
      </w:pPr>
    </w:p>
    <w:sectPr w:rsidR="00E93357" w:rsidSect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72" w:rsidRDefault="001E4C72" w:rsidP="00F5541D">
      <w:r>
        <w:separator/>
      </w:r>
    </w:p>
  </w:endnote>
  <w:endnote w:type="continuationSeparator" w:id="1">
    <w:p w:rsidR="001E4C72" w:rsidRDefault="001E4C72" w:rsidP="00F5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72" w:rsidRDefault="001E4C72" w:rsidP="00F5541D">
      <w:r>
        <w:separator/>
      </w:r>
    </w:p>
  </w:footnote>
  <w:footnote w:type="continuationSeparator" w:id="1">
    <w:p w:rsidR="001E4C72" w:rsidRDefault="001E4C72" w:rsidP="00F5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华文细黑" w:eastAsia="华文细黑" w:hAnsi="华文细黑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E67CE1"/>
    <w:multiLevelType w:val="hybridMultilevel"/>
    <w:tmpl w:val="15443ABE"/>
    <w:lvl w:ilvl="0" w:tplc="495CD6CA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6A44B9"/>
    <w:multiLevelType w:val="hybridMultilevel"/>
    <w:tmpl w:val="64C2EB4E"/>
    <w:lvl w:ilvl="0" w:tplc="4224D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7268A"/>
    <w:multiLevelType w:val="hybridMultilevel"/>
    <w:tmpl w:val="ADF896B2"/>
    <w:lvl w:ilvl="0" w:tplc="0B923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1747549"/>
    <w:multiLevelType w:val="hybridMultilevel"/>
    <w:tmpl w:val="94365D72"/>
    <w:lvl w:ilvl="0" w:tplc="495CD6CA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41D"/>
    <w:rsid w:val="000165A7"/>
    <w:rsid w:val="000517F7"/>
    <w:rsid w:val="000A7C71"/>
    <w:rsid w:val="000D5CE3"/>
    <w:rsid w:val="000E3FDD"/>
    <w:rsid w:val="000F6081"/>
    <w:rsid w:val="001319EA"/>
    <w:rsid w:val="00144C47"/>
    <w:rsid w:val="00152C52"/>
    <w:rsid w:val="00172447"/>
    <w:rsid w:val="001816A6"/>
    <w:rsid w:val="001E4C72"/>
    <w:rsid w:val="00205595"/>
    <w:rsid w:val="002B6D7C"/>
    <w:rsid w:val="002C22BD"/>
    <w:rsid w:val="002C2E06"/>
    <w:rsid w:val="002F07B8"/>
    <w:rsid w:val="003166A5"/>
    <w:rsid w:val="00331B86"/>
    <w:rsid w:val="00351296"/>
    <w:rsid w:val="00371581"/>
    <w:rsid w:val="003A33BC"/>
    <w:rsid w:val="003B41D9"/>
    <w:rsid w:val="003C1EC3"/>
    <w:rsid w:val="0042118F"/>
    <w:rsid w:val="00451219"/>
    <w:rsid w:val="004626D9"/>
    <w:rsid w:val="00473E12"/>
    <w:rsid w:val="0051555F"/>
    <w:rsid w:val="00525BD1"/>
    <w:rsid w:val="005445D1"/>
    <w:rsid w:val="005519F2"/>
    <w:rsid w:val="005667EC"/>
    <w:rsid w:val="005817F9"/>
    <w:rsid w:val="005F47DA"/>
    <w:rsid w:val="00626C5D"/>
    <w:rsid w:val="00650860"/>
    <w:rsid w:val="006D3D19"/>
    <w:rsid w:val="00711B94"/>
    <w:rsid w:val="007372FF"/>
    <w:rsid w:val="00750CA0"/>
    <w:rsid w:val="007543C8"/>
    <w:rsid w:val="0076080F"/>
    <w:rsid w:val="00774DFF"/>
    <w:rsid w:val="0078616D"/>
    <w:rsid w:val="00787635"/>
    <w:rsid w:val="007B7BAE"/>
    <w:rsid w:val="007C3192"/>
    <w:rsid w:val="007D0F18"/>
    <w:rsid w:val="00806E1F"/>
    <w:rsid w:val="008437A3"/>
    <w:rsid w:val="00857069"/>
    <w:rsid w:val="00896761"/>
    <w:rsid w:val="008A5D60"/>
    <w:rsid w:val="008D74FF"/>
    <w:rsid w:val="00953B44"/>
    <w:rsid w:val="00960CAB"/>
    <w:rsid w:val="00971957"/>
    <w:rsid w:val="00984F59"/>
    <w:rsid w:val="009B23EF"/>
    <w:rsid w:val="009E7DB5"/>
    <w:rsid w:val="00A04173"/>
    <w:rsid w:val="00A33557"/>
    <w:rsid w:val="00A70889"/>
    <w:rsid w:val="00B13E01"/>
    <w:rsid w:val="00B65AD7"/>
    <w:rsid w:val="00BD1EEF"/>
    <w:rsid w:val="00BE351F"/>
    <w:rsid w:val="00C01B77"/>
    <w:rsid w:val="00C04431"/>
    <w:rsid w:val="00C16A1E"/>
    <w:rsid w:val="00C51432"/>
    <w:rsid w:val="00C844DB"/>
    <w:rsid w:val="00CA1909"/>
    <w:rsid w:val="00CA1A94"/>
    <w:rsid w:val="00CD54D9"/>
    <w:rsid w:val="00D72960"/>
    <w:rsid w:val="00D8139F"/>
    <w:rsid w:val="00DD4F5E"/>
    <w:rsid w:val="00DE2B9D"/>
    <w:rsid w:val="00DE62D5"/>
    <w:rsid w:val="00E0443C"/>
    <w:rsid w:val="00E160A0"/>
    <w:rsid w:val="00E41EA4"/>
    <w:rsid w:val="00E820E4"/>
    <w:rsid w:val="00E93357"/>
    <w:rsid w:val="00EC0BBC"/>
    <w:rsid w:val="00F543B5"/>
    <w:rsid w:val="00F5541D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41D"/>
    <w:rPr>
      <w:sz w:val="18"/>
      <w:szCs w:val="18"/>
    </w:rPr>
  </w:style>
  <w:style w:type="paragraph" w:styleId="a5">
    <w:name w:val="List Paragraph"/>
    <w:basedOn w:val="a"/>
    <w:uiPriority w:val="34"/>
    <w:qFormat/>
    <w:rsid w:val="00F554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F554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F5541D"/>
    <w:rPr>
      <w:sz w:val="18"/>
      <w:szCs w:val="18"/>
    </w:rPr>
  </w:style>
  <w:style w:type="paragraph" w:styleId="a7">
    <w:name w:val="List Paragraph"/>
    <w:basedOn w:val="a"/>
    <w:uiPriority w:val="34"/>
    <w:qFormat/>
    <w:rsid w:val="00F554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ke.com/sowiki/%E9%AA%A8%E9%AB%93?prd=content_doc_search" TargetMode="External"/><Relationship Id="rId13" Type="http://schemas.openxmlformats.org/officeDocument/2006/relationships/hyperlink" Target="http://www.baike.com/sowiki/%E6%9E%97%E6%88%90%E4%BA%BA?prd=content_doc_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ike.com/sowiki/%E6%B0%AF%E9%9C%89%E7%B4%A0?prd=content_doc_searc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ke.com/sowiki/%E5%AD%95%E5%A6%87?prd=content_doc_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ike.com/sowiki/%E7%BB%B4%E7%94%9F%E7%B4%A0?prd=content_doc_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ike.com/sowiki/%E5%B0%BF?prd=content_doc_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F379-AFF8-46F0-A4A0-3F7A21FA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wangyy</cp:lastModifiedBy>
  <cp:revision>6</cp:revision>
  <dcterms:created xsi:type="dcterms:W3CDTF">2017-05-10T08:39:00Z</dcterms:created>
  <dcterms:modified xsi:type="dcterms:W3CDTF">2017-05-12T03:29:00Z</dcterms:modified>
</cp:coreProperties>
</file>