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B2BB" w14:textId="77777777" w:rsidR="00691CFD" w:rsidRPr="007529B0" w:rsidRDefault="00691CFD" w:rsidP="00856B70">
      <w:pPr>
        <w:spacing w:line="360" w:lineRule="auto"/>
        <w:contextualSpacing/>
        <w:jc w:val="center"/>
        <w:rPr>
          <w:rFonts w:ascii="宋体"/>
          <w:b/>
          <w:sz w:val="44"/>
          <w:szCs w:val="44"/>
        </w:rPr>
      </w:pPr>
      <w:r w:rsidRPr="007529B0">
        <w:rPr>
          <w:rFonts w:ascii="宋体" w:hAnsi="宋体" w:hint="eastAsia"/>
          <w:b/>
          <w:sz w:val="44"/>
          <w:szCs w:val="44"/>
        </w:rPr>
        <w:t>十二指肠溃疡出血临床路径</w:t>
      </w:r>
    </w:p>
    <w:p w14:paraId="0DE7A3B4" w14:textId="77777777" w:rsidR="00691CFD" w:rsidRPr="007529B0" w:rsidRDefault="00691CFD" w:rsidP="00856B70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7529B0"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 w:rsidRPr="007529B0">
        <w:rPr>
          <w:rFonts w:ascii="楷体" w:eastAsia="楷体" w:hAnsi="楷体"/>
          <w:b/>
          <w:bCs/>
          <w:color w:val="000000"/>
          <w:sz w:val="32"/>
          <w:szCs w:val="32"/>
        </w:rPr>
        <w:t>201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9</w:t>
      </w:r>
      <w:r w:rsidRPr="007529B0"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年版）</w:t>
      </w:r>
    </w:p>
    <w:p w14:paraId="0A7FD5DC" w14:textId="77777777" w:rsidR="00691CFD" w:rsidRPr="00633D16" w:rsidRDefault="00691CFD" w:rsidP="00F64725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p w14:paraId="653C0581" w14:textId="77777777" w:rsidR="00691CFD" w:rsidRPr="007529B0" w:rsidRDefault="00691CFD" w:rsidP="00856B70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 w:rsidRPr="007529B0">
        <w:rPr>
          <w:rFonts w:ascii="黑体" w:eastAsia="黑体" w:hAnsi="宋体" w:hint="eastAsia"/>
          <w:sz w:val="32"/>
          <w:szCs w:val="32"/>
        </w:rPr>
        <w:t>一、十二指肠溃疡出血临床路径标准住院流程</w:t>
      </w:r>
    </w:p>
    <w:p w14:paraId="4AAC02A0" w14:textId="77777777" w:rsidR="00691CFD" w:rsidRPr="007529B0" w:rsidRDefault="00691CFD" w:rsidP="00856B70">
      <w:pPr>
        <w:adjustRightInd w:val="0"/>
        <w:snapToGrid w:val="0"/>
        <w:spacing w:line="360" w:lineRule="auto"/>
        <w:ind w:firstLineChars="200" w:firstLine="643"/>
        <w:rPr>
          <w:rFonts w:eastAsia="楷体_GB2312"/>
          <w:sz w:val="24"/>
          <w:szCs w:val="24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（一）适用对象</w:t>
      </w:r>
    </w:p>
    <w:p w14:paraId="43ED8905" w14:textId="77777777" w:rsidR="00691CFD" w:rsidRPr="007529B0" w:rsidRDefault="00691CFD" w:rsidP="00856B70">
      <w:pPr>
        <w:wordWrap w:val="0"/>
        <w:spacing w:line="360" w:lineRule="auto"/>
        <w:ind w:firstLine="641"/>
        <w:rPr>
          <w:rFonts w:ascii="仿宋_GB2312" w:eastAsia="仿宋_GB2312"/>
          <w:sz w:val="24"/>
          <w:szCs w:val="24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第一诊断为急性十二指肠溃疡伴有出血（</w:t>
      </w:r>
      <w:r w:rsidRPr="007529B0">
        <w:rPr>
          <w:rFonts w:ascii="仿宋_GB2312" w:eastAsia="仿宋_GB2312" w:hAnsi="Times New Roman"/>
          <w:sz w:val="32"/>
          <w:szCs w:val="32"/>
        </w:rPr>
        <w:t>ICD-10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：</w:t>
      </w:r>
      <w:r w:rsidRPr="007529B0">
        <w:rPr>
          <w:rFonts w:ascii="仿宋_GB2312" w:eastAsia="仿宋_GB2312" w:hAnsi="Times New Roman"/>
          <w:sz w:val="32"/>
          <w:szCs w:val="32"/>
        </w:rPr>
        <w:t>K26.000</w:t>
      </w:r>
      <w:r w:rsidRPr="007529B0">
        <w:rPr>
          <w:rFonts w:ascii="仿宋_GB2312" w:eastAsia="仿宋_GB2312" w:hAnsi="Times New Roman" w:hint="eastAsia"/>
          <w:sz w:val="32"/>
          <w:szCs w:val="32"/>
        </w:rPr>
        <w:t>），急性十二指肠球部溃疡并出血（</w:t>
      </w:r>
      <w:r w:rsidRPr="007529B0">
        <w:rPr>
          <w:rFonts w:ascii="仿宋_GB2312" w:eastAsia="仿宋_GB2312" w:hAnsi="Times New Roman"/>
          <w:sz w:val="32"/>
          <w:szCs w:val="32"/>
        </w:rPr>
        <w:t>ICD-10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：</w:t>
      </w:r>
      <w:r w:rsidRPr="007529B0">
        <w:rPr>
          <w:rFonts w:ascii="仿宋_GB2312" w:eastAsia="仿宋_GB2312" w:hAnsi="Times New Roman"/>
          <w:sz w:val="32"/>
          <w:szCs w:val="32"/>
        </w:rPr>
        <w:t>K26.001</w:t>
      </w:r>
      <w:r w:rsidRPr="007529B0">
        <w:rPr>
          <w:rFonts w:ascii="仿宋_GB2312" w:eastAsia="仿宋_GB2312" w:hAnsi="Times New Roman" w:hint="eastAsia"/>
          <w:sz w:val="32"/>
          <w:szCs w:val="32"/>
        </w:rPr>
        <w:t>），慢性十二指肠溃疡伴有出血（</w:t>
      </w:r>
      <w:r w:rsidRPr="007529B0">
        <w:rPr>
          <w:rFonts w:ascii="仿宋_GB2312" w:eastAsia="仿宋_GB2312" w:hAnsi="Times New Roman"/>
          <w:sz w:val="32"/>
          <w:szCs w:val="32"/>
        </w:rPr>
        <w:t>ICD-10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：</w:t>
      </w:r>
      <w:r w:rsidRPr="007529B0">
        <w:rPr>
          <w:rFonts w:ascii="仿宋_GB2312" w:eastAsia="仿宋_GB2312" w:hAnsi="Times New Roman"/>
          <w:sz w:val="32"/>
          <w:szCs w:val="32"/>
        </w:rPr>
        <w:t>K26.400</w:t>
      </w:r>
      <w:r w:rsidRPr="007529B0">
        <w:rPr>
          <w:rFonts w:ascii="仿宋_GB2312" w:eastAsia="仿宋_GB2312" w:hAnsi="Times New Roman" w:hint="eastAsia"/>
          <w:sz w:val="32"/>
          <w:szCs w:val="32"/>
        </w:rPr>
        <w:t>），十二指肠球部溃疡伴出血（</w:t>
      </w:r>
      <w:r w:rsidRPr="007529B0">
        <w:rPr>
          <w:rFonts w:ascii="仿宋_GB2312" w:eastAsia="仿宋_GB2312" w:hAnsi="Times New Roman"/>
          <w:sz w:val="32"/>
          <w:szCs w:val="32"/>
        </w:rPr>
        <w:t>ICD-10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：</w:t>
      </w:r>
      <w:r w:rsidRPr="007529B0">
        <w:rPr>
          <w:rFonts w:ascii="仿宋_GB2312" w:eastAsia="仿宋_GB2312" w:hAnsi="Times New Roman"/>
          <w:sz w:val="32"/>
          <w:szCs w:val="32"/>
        </w:rPr>
        <w:t>K26.401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0AAE56F1" w14:textId="77777777" w:rsidR="00691CFD" w:rsidRPr="007529B0" w:rsidRDefault="00691CFD" w:rsidP="00856B70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eastAsia="楷体_GB2312"/>
          <w:sz w:val="24"/>
          <w:szCs w:val="24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（二）诊断依据</w:t>
      </w:r>
    </w:p>
    <w:p w14:paraId="5D4A1206" w14:textId="77777777" w:rsidR="00691CFD" w:rsidRPr="007529B0" w:rsidRDefault="00691CFD" w:rsidP="00856B70">
      <w:pPr>
        <w:wordWrap w:val="0"/>
        <w:spacing w:line="360" w:lineRule="auto"/>
        <w:ind w:firstLine="72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根据《亚太地区工作组关于非静脉曲张性上消化道出血的共识意见：</w:t>
      </w:r>
      <w:r w:rsidRPr="007529B0">
        <w:rPr>
          <w:rFonts w:ascii="仿宋_GB2312" w:eastAsia="仿宋_GB2312" w:hAnsi="Times New Roman"/>
          <w:sz w:val="32"/>
          <w:szCs w:val="32"/>
        </w:rPr>
        <w:t>2018</w:t>
      </w:r>
      <w:r w:rsidRPr="007529B0">
        <w:rPr>
          <w:rFonts w:ascii="仿宋_GB2312" w:eastAsia="仿宋_GB2312" w:hAnsi="Times New Roman" w:hint="eastAsia"/>
          <w:sz w:val="32"/>
          <w:szCs w:val="32"/>
        </w:rPr>
        <w:t>年更新》（</w:t>
      </w:r>
      <w:r w:rsidRPr="007529B0">
        <w:rPr>
          <w:rFonts w:ascii="仿宋_GB2312" w:eastAsia="仿宋_GB2312" w:hAnsi="Times New Roman"/>
          <w:sz w:val="32"/>
          <w:szCs w:val="32"/>
        </w:rPr>
        <w:t>Gut,2018,67</w:t>
      </w: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）：</w:t>
      </w:r>
      <w:r w:rsidRPr="007529B0">
        <w:rPr>
          <w:rFonts w:ascii="仿宋_GB2312" w:eastAsia="仿宋_GB2312" w:hAnsi="Times New Roman"/>
          <w:sz w:val="32"/>
          <w:szCs w:val="32"/>
        </w:rPr>
        <w:t>1757-1768.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  <w:r w:rsidRPr="007529B0">
        <w:rPr>
          <w:rFonts w:ascii="仿宋_GB2312" w:eastAsia="仿宋_GB2312" w:hAnsi="Times New Roman"/>
          <w:sz w:val="32"/>
          <w:szCs w:val="32"/>
        </w:rPr>
        <w:t>;</w:t>
      </w:r>
      <w:r w:rsidRPr="007529B0">
        <w:rPr>
          <w:rFonts w:ascii="仿宋_GB2312" w:eastAsia="仿宋_GB2312" w:hAnsi="Times New Roman" w:hint="eastAsia"/>
          <w:sz w:val="32"/>
          <w:szCs w:val="32"/>
        </w:rPr>
        <w:t>《急性非静脉曲张性上消化道出血诊治指南（</w:t>
      </w:r>
      <w:r w:rsidRPr="007529B0">
        <w:rPr>
          <w:rFonts w:ascii="仿宋_GB2312" w:eastAsia="仿宋_GB2312" w:hAnsi="Times New Roman"/>
          <w:sz w:val="32"/>
          <w:szCs w:val="32"/>
        </w:rPr>
        <w:t>2015</w:t>
      </w:r>
      <w:r w:rsidRPr="007529B0">
        <w:rPr>
          <w:rFonts w:ascii="仿宋_GB2312" w:eastAsia="仿宋_GB2312" w:hAnsi="Times New Roman" w:hint="eastAsia"/>
          <w:sz w:val="32"/>
          <w:szCs w:val="32"/>
        </w:rPr>
        <w:t>年，南昌）》（中华消化杂志，</w:t>
      </w:r>
      <w:r w:rsidRPr="007529B0">
        <w:rPr>
          <w:rFonts w:ascii="仿宋_GB2312" w:eastAsia="仿宋_GB2312" w:hAnsi="Times New Roman"/>
          <w:sz w:val="32"/>
          <w:szCs w:val="32"/>
        </w:rPr>
        <w:t>2015,35</w:t>
      </w: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12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  <w:r w:rsidRPr="007529B0">
        <w:rPr>
          <w:rFonts w:ascii="仿宋_GB2312" w:eastAsia="仿宋_GB2312" w:hAnsi="Times New Roman"/>
          <w:sz w:val="32"/>
          <w:szCs w:val="32"/>
        </w:rPr>
        <w:t>:793-798.</w:t>
      </w:r>
      <w:r w:rsidRPr="007529B0">
        <w:rPr>
          <w:rFonts w:ascii="仿宋_GB2312" w:eastAsia="仿宋_GB2312" w:hAnsi="Times New Roman" w:hint="eastAsia"/>
          <w:sz w:val="32"/>
          <w:szCs w:val="32"/>
        </w:rPr>
        <w:t>）。</w:t>
      </w:r>
    </w:p>
    <w:p w14:paraId="7DA24C0A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1.</w:t>
      </w:r>
      <w:r w:rsidRPr="007529B0">
        <w:rPr>
          <w:rFonts w:ascii="仿宋_GB2312" w:eastAsia="仿宋_GB2312" w:hAnsi="Times New Roman" w:hint="eastAsia"/>
          <w:sz w:val="32"/>
          <w:szCs w:val="32"/>
        </w:rPr>
        <w:t>慢性、周期性、规律性上腹疼痛。</w:t>
      </w:r>
    </w:p>
    <w:p w14:paraId="564C0FFF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2.</w:t>
      </w:r>
      <w:r w:rsidRPr="007529B0">
        <w:rPr>
          <w:rFonts w:ascii="仿宋_GB2312" w:eastAsia="仿宋_GB2312" w:hAnsi="Times New Roman" w:hint="eastAsia"/>
          <w:sz w:val="32"/>
          <w:szCs w:val="32"/>
        </w:rPr>
        <w:t>有呕血和（或）黑便。</w:t>
      </w:r>
    </w:p>
    <w:p w14:paraId="3F0E86EC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3.</w:t>
      </w:r>
      <w:r w:rsidRPr="007529B0">
        <w:rPr>
          <w:rFonts w:ascii="仿宋_GB2312" w:eastAsia="仿宋_GB2312" w:hAnsi="Times New Roman" w:hint="eastAsia"/>
          <w:sz w:val="32"/>
          <w:szCs w:val="32"/>
        </w:rPr>
        <w:t>胃镜检查确诊为十二指肠溃疡出血。</w:t>
      </w:r>
    </w:p>
    <w:p w14:paraId="2B5AEB0B" w14:textId="77777777" w:rsidR="00691CFD" w:rsidRPr="007529B0" w:rsidRDefault="00691CFD" w:rsidP="00856B70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/>
          <w:sz w:val="24"/>
          <w:szCs w:val="24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（三）治疗方案的选择</w:t>
      </w:r>
    </w:p>
    <w:p w14:paraId="59F7E0A2" w14:textId="77777777" w:rsidR="00691CFD" w:rsidRPr="007529B0" w:rsidRDefault="00691CFD" w:rsidP="00856B70">
      <w:pPr>
        <w:wordWrap w:val="0"/>
        <w:spacing w:line="360" w:lineRule="auto"/>
        <w:ind w:firstLine="72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根据《亚太地区工作组关于非静脉曲张性上消化道出血的共识意见：</w:t>
      </w:r>
      <w:r w:rsidRPr="007529B0">
        <w:rPr>
          <w:rFonts w:ascii="仿宋_GB2312" w:eastAsia="仿宋_GB2312" w:hAnsi="Times New Roman"/>
          <w:sz w:val="32"/>
          <w:szCs w:val="32"/>
        </w:rPr>
        <w:t>2018</w:t>
      </w:r>
      <w:r w:rsidRPr="007529B0">
        <w:rPr>
          <w:rFonts w:ascii="仿宋_GB2312" w:eastAsia="仿宋_GB2312" w:hAnsi="Times New Roman" w:hint="eastAsia"/>
          <w:sz w:val="32"/>
          <w:szCs w:val="32"/>
        </w:rPr>
        <w:t>年更新》（</w:t>
      </w:r>
      <w:r w:rsidRPr="007529B0">
        <w:rPr>
          <w:rFonts w:ascii="仿宋_GB2312" w:eastAsia="仿宋_GB2312" w:hAnsi="Times New Roman"/>
          <w:sz w:val="32"/>
          <w:szCs w:val="32"/>
        </w:rPr>
        <w:t>Gut,2018,67</w:t>
      </w: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）：</w:t>
      </w:r>
      <w:r w:rsidRPr="007529B0">
        <w:rPr>
          <w:rFonts w:ascii="仿宋_GB2312" w:eastAsia="仿宋_GB2312" w:hAnsi="Times New Roman"/>
          <w:sz w:val="32"/>
          <w:szCs w:val="32"/>
        </w:rPr>
        <w:t>1757-1768.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  <w:r w:rsidRPr="007529B0">
        <w:rPr>
          <w:rFonts w:ascii="仿宋_GB2312" w:eastAsia="仿宋_GB2312" w:hAnsi="Times New Roman"/>
          <w:sz w:val="32"/>
          <w:szCs w:val="32"/>
        </w:rPr>
        <w:t>;</w:t>
      </w:r>
      <w:r w:rsidRPr="007529B0">
        <w:rPr>
          <w:rFonts w:ascii="仿宋_GB2312" w:eastAsia="仿宋_GB2312" w:hAnsi="Times New Roman" w:hint="eastAsia"/>
          <w:sz w:val="32"/>
          <w:szCs w:val="32"/>
        </w:rPr>
        <w:t>《急性非静脉曲张性上消化道出血诊治指南（</w:t>
      </w:r>
      <w:r w:rsidRPr="007529B0">
        <w:rPr>
          <w:rFonts w:ascii="仿宋_GB2312" w:eastAsia="仿宋_GB2312" w:hAnsi="Times New Roman"/>
          <w:sz w:val="32"/>
          <w:szCs w:val="32"/>
        </w:rPr>
        <w:t>2015</w:t>
      </w:r>
      <w:r w:rsidRPr="007529B0">
        <w:rPr>
          <w:rFonts w:ascii="仿宋_GB2312" w:eastAsia="仿宋_GB2312" w:hAnsi="Times New Roman" w:hint="eastAsia"/>
          <w:sz w:val="32"/>
          <w:szCs w:val="32"/>
        </w:rPr>
        <w:t>年，南昌）》（中华消化杂志，</w:t>
      </w:r>
      <w:r w:rsidRPr="007529B0">
        <w:rPr>
          <w:rFonts w:ascii="仿宋_GB2312" w:eastAsia="仿宋_GB2312" w:hAnsi="Times New Roman"/>
          <w:sz w:val="32"/>
          <w:szCs w:val="32"/>
        </w:rPr>
        <w:t>2015,35</w:t>
      </w: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12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  <w:r w:rsidRPr="007529B0">
        <w:rPr>
          <w:rFonts w:ascii="仿宋_GB2312" w:eastAsia="仿宋_GB2312" w:hAnsi="Times New Roman"/>
          <w:sz w:val="32"/>
          <w:szCs w:val="32"/>
        </w:rPr>
        <w:t>:793-798.</w:t>
      </w:r>
      <w:r w:rsidRPr="007529B0">
        <w:rPr>
          <w:rFonts w:ascii="仿宋_GB2312" w:eastAsia="仿宋_GB2312" w:hAnsi="Times New Roman" w:hint="eastAsia"/>
          <w:sz w:val="32"/>
          <w:szCs w:val="32"/>
        </w:rPr>
        <w:t>）。</w:t>
      </w:r>
    </w:p>
    <w:p w14:paraId="15718650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lastRenderedPageBreak/>
        <w:t>1.</w:t>
      </w:r>
      <w:r w:rsidRPr="007529B0">
        <w:rPr>
          <w:rFonts w:ascii="仿宋_GB2312" w:eastAsia="仿宋_GB2312" w:hAnsi="Times New Roman" w:hint="eastAsia"/>
          <w:sz w:val="32"/>
          <w:szCs w:val="32"/>
        </w:rPr>
        <w:t>维持生命体征平稳。</w:t>
      </w:r>
    </w:p>
    <w:p w14:paraId="3F3A6E46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2.</w:t>
      </w:r>
      <w:r w:rsidRPr="007529B0">
        <w:rPr>
          <w:rFonts w:ascii="仿宋_GB2312" w:eastAsia="仿宋_GB2312" w:hAnsi="Times New Roman" w:hint="eastAsia"/>
          <w:sz w:val="32"/>
          <w:szCs w:val="32"/>
        </w:rPr>
        <w:t>选择各种止血及抗溃疡药物治疗。</w:t>
      </w:r>
    </w:p>
    <w:p w14:paraId="3FA54AA6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3.</w:t>
      </w:r>
      <w:r w:rsidRPr="007529B0">
        <w:rPr>
          <w:rFonts w:ascii="仿宋_GB2312" w:eastAsia="仿宋_GB2312" w:hAnsi="Times New Roman" w:hint="eastAsia"/>
          <w:sz w:val="32"/>
          <w:szCs w:val="32"/>
        </w:rPr>
        <w:t>本临床路径治疗方案不包括介入或手术止血等治疗措施。</w:t>
      </w:r>
    </w:p>
    <w:p w14:paraId="432D8644" w14:textId="77777777" w:rsidR="00691CFD" w:rsidRPr="007529B0" w:rsidRDefault="00691CFD" w:rsidP="00856B70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 w:hAnsi="Times New Roman"/>
          <w:b/>
          <w:bCs/>
          <w:sz w:val="32"/>
          <w:szCs w:val="32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（四）标准住院日为</w:t>
      </w:r>
      <w:r w:rsidRPr="007529B0">
        <w:rPr>
          <w:rFonts w:ascii="楷体_GB2312" w:eastAsia="楷体_GB2312" w:hAnsi="Times New Roman"/>
          <w:b/>
          <w:bCs/>
          <w:sz w:val="32"/>
          <w:szCs w:val="32"/>
        </w:rPr>
        <w:t>7</w:t>
      </w: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～</w:t>
      </w:r>
      <w:r w:rsidRPr="007529B0">
        <w:rPr>
          <w:rFonts w:ascii="楷体_GB2312" w:eastAsia="楷体_GB2312" w:hAnsi="Times New Roman"/>
          <w:b/>
          <w:bCs/>
          <w:sz w:val="32"/>
          <w:szCs w:val="32"/>
        </w:rPr>
        <w:t>8</w:t>
      </w: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天</w:t>
      </w:r>
    </w:p>
    <w:p w14:paraId="4484AEE0" w14:textId="77777777" w:rsidR="00691CFD" w:rsidRPr="007529B0" w:rsidRDefault="00691CFD" w:rsidP="00856B70">
      <w:pPr>
        <w:adjustRightInd w:val="0"/>
        <w:snapToGrid w:val="0"/>
        <w:ind w:firstLineChars="200" w:firstLine="643"/>
        <w:rPr>
          <w:rFonts w:ascii="楷体_GB2312" w:eastAsia="楷体_GB2312"/>
          <w:sz w:val="24"/>
          <w:szCs w:val="24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（五）进入路径标准</w:t>
      </w:r>
    </w:p>
    <w:p w14:paraId="3135AEDA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1.</w:t>
      </w:r>
      <w:r w:rsidRPr="007529B0">
        <w:rPr>
          <w:rFonts w:ascii="仿宋_GB2312" w:eastAsia="仿宋_GB2312" w:hAnsi="Times New Roman" w:hint="eastAsia"/>
          <w:sz w:val="32"/>
          <w:szCs w:val="32"/>
        </w:rPr>
        <w:t>第一诊断符合</w:t>
      </w:r>
      <w:r w:rsidRPr="007529B0">
        <w:rPr>
          <w:rFonts w:ascii="仿宋_GB2312" w:eastAsia="仿宋_GB2312" w:hAnsi="Times New Roman"/>
          <w:sz w:val="32"/>
          <w:szCs w:val="32"/>
        </w:rPr>
        <w:t>ICD-10</w:t>
      </w:r>
      <w:r w:rsidRPr="007529B0">
        <w:rPr>
          <w:rFonts w:ascii="仿宋_GB2312" w:eastAsia="仿宋_GB2312" w:hAnsi="Times New Roman" w:hint="eastAsia"/>
          <w:sz w:val="32"/>
          <w:szCs w:val="32"/>
        </w:rPr>
        <w:t>：</w:t>
      </w:r>
      <w:r w:rsidRPr="007529B0">
        <w:rPr>
          <w:rFonts w:ascii="仿宋_GB2312" w:eastAsia="仿宋_GB2312" w:hAnsi="Times New Roman"/>
          <w:sz w:val="32"/>
          <w:szCs w:val="32"/>
        </w:rPr>
        <w:t>K26.000/K26.001/K26.400/K26.401</w:t>
      </w:r>
      <w:r w:rsidRPr="007529B0">
        <w:rPr>
          <w:rFonts w:ascii="仿宋_GB2312" w:eastAsia="仿宋_GB2312" w:hAnsi="Times New Roman" w:hint="eastAsia"/>
          <w:sz w:val="32"/>
          <w:szCs w:val="32"/>
        </w:rPr>
        <w:t>十二指肠溃疡出血疾病编码。</w:t>
      </w:r>
    </w:p>
    <w:p w14:paraId="7381B51D" w14:textId="77777777" w:rsidR="00691CFD" w:rsidRPr="007529B0" w:rsidRDefault="00691CFD" w:rsidP="00856B70">
      <w:pPr>
        <w:wordWrap w:val="0"/>
        <w:spacing w:line="360" w:lineRule="auto"/>
        <w:ind w:firstLine="641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2.</w:t>
      </w:r>
      <w:r w:rsidRPr="007529B0">
        <w:rPr>
          <w:rFonts w:ascii="仿宋_GB2312" w:eastAsia="仿宋_GB2312" w:hAnsi="Times New Roman" w:hint="eastAsia"/>
          <w:sz w:val="32"/>
          <w:szCs w:val="32"/>
        </w:rPr>
        <w:t>已经通过胃镜检查确诊为十二指肠溃疡出血的患者。</w:t>
      </w:r>
    </w:p>
    <w:p w14:paraId="520E0428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3.</w:t>
      </w:r>
      <w:r w:rsidRPr="007529B0">
        <w:rPr>
          <w:rFonts w:ascii="仿宋_GB2312" w:eastAsia="仿宋_GB2312" w:hAnsi="Times New Roman" w:hint="eastAsia"/>
          <w:sz w:val="32"/>
          <w:szCs w:val="32"/>
        </w:rPr>
        <w:t>当患者同时具有其他疾病诊断，但在住院期间不需要特殊处理，也不影响第一诊断的临床路径流程实施时，可以进入路径。</w:t>
      </w:r>
    </w:p>
    <w:p w14:paraId="7EC25EA6" w14:textId="77777777" w:rsidR="00691CFD" w:rsidRPr="00633D16" w:rsidRDefault="00691CFD" w:rsidP="00633D16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 w:hAnsi="Times New Roman"/>
          <w:b/>
          <w:bCs/>
          <w:sz w:val="32"/>
          <w:szCs w:val="32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（六）住院期间检查项目</w:t>
      </w:r>
    </w:p>
    <w:p w14:paraId="01B60AA2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1.</w:t>
      </w:r>
      <w:r w:rsidRPr="007529B0">
        <w:rPr>
          <w:rFonts w:ascii="仿宋_GB2312" w:eastAsia="仿宋_GB2312" w:hAnsi="Times New Roman" w:hint="eastAsia"/>
          <w:sz w:val="32"/>
          <w:szCs w:val="32"/>
        </w:rPr>
        <w:t>必需的检查项目</w:t>
      </w:r>
    </w:p>
    <w:p w14:paraId="3FC293F0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）血常规、尿常规、</w:t>
      </w:r>
      <w:r>
        <w:rPr>
          <w:rFonts w:ascii="仿宋_GB2312" w:eastAsia="仿宋_GB2312" w:hAnsi="Times New Roman" w:hint="eastAsia"/>
          <w:sz w:val="32"/>
          <w:szCs w:val="32"/>
        </w:rPr>
        <w:t>大</w:t>
      </w:r>
      <w:r w:rsidRPr="007529B0">
        <w:rPr>
          <w:rFonts w:ascii="仿宋_GB2312" w:eastAsia="仿宋_GB2312" w:hAnsi="Times New Roman" w:hint="eastAsia"/>
          <w:sz w:val="32"/>
          <w:szCs w:val="32"/>
        </w:rPr>
        <w:t>便常规</w:t>
      </w:r>
      <w:r w:rsidRPr="007529B0">
        <w:rPr>
          <w:rFonts w:ascii="仿宋_GB2312" w:eastAsia="仿宋_GB2312" w:hAnsi="Times New Roman"/>
          <w:sz w:val="32"/>
          <w:szCs w:val="32"/>
        </w:rPr>
        <w:t>+</w:t>
      </w:r>
      <w:r>
        <w:rPr>
          <w:rFonts w:ascii="仿宋_GB2312" w:eastAsia="仿宋_GB2312" w:hAnsi="Times New Roman" w:hint="eastAsia"/>
          <w:sz w:val="32"/>
          <w:szCs w:val="32"/>
        </w:rPr>
        <w:t>隐</w:t>
      </w:r>
      <w:r w:rsidRPr="007529B0">
        <w:rPr>
          <w:rFonts w:ascii="仿宋_GB2312" w:eastAsia="仿宋_GB2312" w:hAnsi="Times New Roman" w:hint="eastAsia"/>
          <w:sz w:val="32"/>
          <w:szCs w:val="32"/>
        </w:rPr>
        <w:t>血。</w:t>
      </w:r>
    </w:p>
    <w:p w14:paraId="26B222AD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2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）肝肾功能、电解质、血型、凝血功能、输血前检查。</w:t>
      </w:r>
    </w:p>
    <w:p w14:paraId="1AE91214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3</w:t>
      </w:r>
      <w:r w:rsidRPr="007529B0">
        <w:rPr>
          <w:rFonts w:ascii="仿宋_GB2312" w:eastAsia="仿宋_GB2312" w:hAnsi="Times New Roman" w:hint="eastAsia"/>
          <w:sz w:val="32"/>
          <w:szCs w:val="32"/>
        </w:rPr>
        <w:t>）</w:t>
      </w:r>
      <w:r w:rsidRPr="007529B0">
        <w:rPr>
          <w:rFonts w:ascii="仿宋_GB2312" w:eastAsia="仿宋_GB2312" w:hAnsi="Times New Roman"/>
          <w:sz w:val="32"/>
          <w:szCs w:val="32"/>
        </w:rPr>
        <w:t>X</w:t>
      </w:r>
      <w:r w:rsidRPr="007529B0">
        <w:rPr>
          <w:rFonts w:ascii="仿宋_GB2312" w:eastAsia="仿宋_GB2312" w:hAnsi="Times New Roman" w:hint="eastAsia"/>
          <w:sz w:val="32"/>
          <w:szCs w:val="32"/>
        </w:rPr>
        <w:t>线胸片、心电图、腹部超声。</w:t>
      </w:r>
    </w:p>
    <w:p w14:paraId="7A674AD3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4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）胃镜检查。</w:t>
      </w:r>
    </w:p>
    <w:p w14:paraId="67AE7E61" w14:textId="77777777" w:rsidR="00691CFD" w:rsidRPr="007529B0" w:rsidRDefault="00691CFD" w:rsidP="00F74912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5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）营养筛查与评估：入院后</w:t>
      </w:r>
      <w:r w:rsidRPr="007529B0">
        <w:rPr>
          <w:rFonts w:ascii="仿宋_GB2312" w:eastAsia="仿宋_GB2312" w:hAnsi="Times New Roman"/>
          <w:sz w:val="32"/>
          <w:szCs w:val="32"/>
        </w:rPr>
        <w:t>24</w:t>
      </w:r>
      <w:r w:rsidRPr="007529B0">
        <w:rPr>
          <w:rFonts w:ascii="仿宋_GB2312" w:eastAsia="仿宋_GB2312" w:hAnsi="Times New Roman" w:hint="eastAsia"/>
          <w:sz w:val="32"/>
          <w:szCs w:val="32"/>
        </w:rPr>
        <w:t>小时内完成</w:t>
      </w:r>
      <w:r w:rsidRPr="007529B0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14:paraId="2C3347A6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/>
          <w:sz w:val="32"/>
          <w:szCs w:val="32"/>
        </w:rPr>
        <w:t>2.</w:t>
      </w:r>
      <w:r w:rsidRPr="007529B0">
        <w:rPr>
          <w:rFonts w:ascii="仿宋_GB2312" w:eastAsia="仿宋_GB2312" w:hAnsi="Times New Roman" w:hint="eastAsia"/>
          <w:sz w:val="32"/>
          <w:szCs w:val="32"/>
        </w:rPr>
        <w:t>根据患者病情可选择的检查项目</w:t>
      </w:r>
    </w:p>
    <w:p w14:paraId="4650812C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1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）腹部</w:t>
      </w:r>
      <w:r w:rsidRPr="007529B0">
        <w:rPr>
          <w:rFonts w:ascii="仿宋_GB2312" w:eastAsia="仿宋_GB2312" w:hAnsi="Times New Roman"/>
          <w:sz w:val="32"/>
          <w:szCs w:val="32"/>
        </w:rPr>
        <w:t>CT</w:t>
      </w:r>
      <w:r w:rsidRPr="007529B0">
        <w:rPr>
          <w:rFonts w:ascii="仿宋_GB2312" w:eastAsia="仿宋_GB2312" w:hAnsi="Times New Roman" w:hint="eastAsia"/>
          <w:sz w:val="32"/>
          <w:szCs w:val="32"/>
        </w:rPr>
        <w:t>（增强）。</w:t>
      </w:r>
    </w:p>
    <w:p w14:paraId="197854F8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lastRenderedPageBreak/>
        <w:t>（</w:t>
      </w:r>
      <w:r w:rsidRPr="007529B0">
        <w:rPr>
          <w:rFonts w:ascii="仿宋_GB2312" w:eastAsia="仿宋_GB2312" w:hAnsi="Times New Roman"/>
          <w:sz w:val="32"/>
          <w:szCs w:val="32"/>
        </w:rPr>
        <w:t>2</w:t>
      </w:r>
      <w:r w:rsidRPr="007529B0">
        <w:rPr>
          <w:rFonts w:ascii="仿宋_GB2312" w:eastAsia="仿宋_GB2312" w:hAnsi="Times New Roman" w:hint="eastAsia"/>
          <w:sz w:val="32"/>
          <w:szCs w:val="32"/>
        </w:rPr>
        <w:t>）超声内镜</w:t>
      </w:r>
    </w:p>
    <w:p w14:paraId="38607BB8" w14:textId="77777777" w:rsidR="00691CFD" w:rsidRPr="007529B0" w:rsidRDefault="00691CFD" w:rsidP="00856B70">
      <w:pPr>
        <w:wordWrap w:val="0"/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529B0">
        <w:rPr>
          <w:rFonts w:ascii="仿宋_GB2312" w:eastAsia="仿宋_GB2312" w:hAnsi="Times New Roman" w:hint="eastAsia"/>
          <w:sz w:val="32"/>
          <w:szCs w:val="32"/>
        </w:rPr>
        <w:t>（</w:t>
      </w:r>
      <w:r w:rsidRPr="007529B0">
        <w:rPr>
          <w:rFonts w:ascii="仿宋_GB2312" w:eastAsia="仿宋_GB2312" w:hAnsi="Times New Roman"/>
          <w:sz w:val="32"/>
          <w:szCs w:val="32"/>
        </w:rPr>
        <w:t>3</w:t>
      </w:r>
      <w:r w:rsidRPr="007529B0">
        <w:rPr>
          <w:rFonts w:ascii="仿宋_GB2312" w:eastAsia="仿宋_GB2312" w:hAnsi="Times New Roman" w:hint="eastAsia"/>
          <w:sz w:val="32"/>
          <w:szCs w:val="32"/>
        </w:rPr>
        <w:t>）幽门螺杆</w:t>
      </w:r>
      <w:proofErr w:type="gramStart"/>
      <w:r w:rsidRPr="007529B0">
        <w:rPr>
          <w:rFonts w:ascii="仿宋_GB2312" w:eastAsia="仿宋_GB2312" w:hAnsi="Times New Roman" w:hint="eastAsia"/>
          <w:sz w:val="32"/>
          <w:szCs w:val="32"/>
        </w:rPr>
        <w:t>菌</w:t>
      </w:r>
      <w:proofErr w:type="gramEnd"/>
      <w:r w:rsidRPr="007529B0">
        <w:rPr>
          <w:rFonts w:ascii="仿宋_GB2312" w:eastAsia="仿宋_GB2312" w:hAnsi="Times New Roman" w:hint="eastAsia"/>
          <w:sz w:val="32"/>
          <w:szCs w:val="32"/>
        </w:rPr>
        <w:t>检测。</w:t>
      </w:r>
    </w:p>
    <w:p w14:paraId="68772293" w14:textId="77777777" w:rsidR="00691CFD" w:rsidRPr="00633D16" w:rsidRDefault="00691CFD" w:rsidP="00633D16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 w:hAnsi="Times New Roman"/>
          <w:b/>
          <w:bCs/>
          <w:sz w:val="32"/>
          <w:szCs w:val="32"/>
        </w:rPr>
      </w:pPr>
      <w:r w:rsidRPr="007529B0">
        <w:rPr>
          <w:rFonts w:ascii="楷体_GB2312" w:eastAsia="楷体_GB2312" w:hAnsi="Times New Roman" w:hint="eastAsia"/>
          <w:b/>
          <w:bCs/>
          <w:sz w:val="32"/>
          <w:szCs w:val="32"/>
        </w:rPr>
        <w:t>（七）治疗方案和药物选择</w:t>
      </w:r>
    </w:p>
    <w:p w14:paraId="3D764E59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1.</w:t>
      </w:r>
      <w:r w:rsidRPr="006060D7">
        <w:rPr>
          <w:rFonts w:ascii="仿宋_GB2312" w:eastAsia="仿宋_GB2312" w:hAnsi="仿宋" w:hint="eastAsia"/>
          <w:sz w:val="32"/>
          <w:szCs w:val="32"/>
        </w:rPr>
        <w:t>建立快速静脉通道，补充晶体液（生理盐水、葡萄糖、等渗液），出血量较大的患者可适当补充胶体液（血浆、血浆代用品）。</w:t>
      </w:r>
    </w:p>
    <w:p w14:paraId="7EA88A37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2.</w:t>
      </w:r>
      <w:r w:rsidRPr="006060D7">
        <w:rPr>
          <w:rFonts w:ascii="仿宋_GB2312" w:eastAsia="仿宋_GB2312" w:hAnsi="仿宋" w:hint="eastAsia"/>
          <w:sz w:val="32"/>
          <w:szCs w:val="32"/>
        </w:rPr>
        <w:t>必要时置入胃管、心电监护。</w:t>
      </w:r>
    </w:p>
    <w:p w14:paraId="22CB50AD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3.</w:t>
      </w:r>
      <w:r w:rsidRPr="006060D7">
        <w:rPr>
          <w:rFonts w:ascii="仿宋_GB2312" w:eastAsia="仿宋_GB2312" w:hAnsi="仿宋" w:hint="eastAsia"/>
          <w:sz w:val="32"/>
          <w:szCs w:val="32"/>
        </w:rPr>
        <w:t>下列患者应考虑输血治疗</w:t>
      </w:r>
    </w:p>
    <w:p w14:paraId="6CE2B784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1</w:t>
      </w:r>
      <w:r w:rsidRPr="006060D7">
        <w:rPr>
          <w:rFonts w:ascii="仿宋_GB2312" w:eastAsia="仿宋_GB2312" w:hAnsi="仿宋" w:hint="eastAsia"/>
          <w:sz w:val="32"/>
          <w:szCs w:val="32"/>
        </w:rPr>
        <w:t>）收缩压＜</w:t>
      </w:r>
      <w:r w:rsidRPr="006060D7">
        <w:rPr>
          <w:rFonts w:ascii="仿宋_GB2312" w:eastAsia="仿宋_GB2312" w:hAnsi="仿宋"/>
          <w:sz w:val="32"/>
          <w:szCs w:val="32"/>
        </w:rPr>
        <w:t>90mmHg</w:t>
      </w:r>
      <w:r w:rsidRPr="006060D7">
        <w:rPr>
          <w:rFonts w:ascii="仿宋_GB2312" w:eastAsia="仿宋_GB2312" w:hAnsi="仿宋" w:hint="eastAsia"/>
          <w:sz w:val="32"/>
          <w:szCs w:val="32"/>
        </w:rPr>
        <w:t>，或</w:t>
      </w:r>
      <w:proofErr w:type="gramStart"/>
      <w:r w:rsidRPr="006060D7">
        <w:rPr>
          <w:rFonts w:ascii="仿宋_GB2312" w:eastAsia="仿宋_GB2312" w:hAnsi="仿宋" w:hint="eastAsia"/>
          <w:sz w:val="32"/>
          <w:szCs w:val="32"/>
        </w:rPr>
        <w:t>较基础</w:t>
      </w:r>
      <w:proofErr w:type="gramEnd"/>
      <w:r w:rsidRPr="006060D7">
        <w:rPr>
          <w:rFonts w:ascii="仿宋_GB2312" w:eastAsia="仿宋_GB2312" w:hAnsi="仿宋" w:hint="eastAsia"/>
          <w:sz w:val="32"/>
          <w:szCs w:val="32"/>
        </w:rPr>
        <w:t>收缩压降低≥</w:t>
      </w:r>
      <w:r w:rsidRPr="006060D7">
        <w:rPr>
          <w:rFonts w:ascii="仿宋_GB2312" w:eastAsia="仿宋_GB2312" w:hAnsi="仿宋"/>
          <w:sz w:val="32"/>
          <w:szCs w:val="32"/>
        </w:rPr>
        <w:t>30mmHg</w:t>
      </w:r>
      <w:r w:rsidRPr="006060D7">
        <w:rPr>
          <w:rFonts w:ascii="仿宋_GB2312" w:eastAsia="仿宋_GB2312" w:hAnsi="仿宋" w:hint="eastAsia"/>
          <w:sz w:val="32"/>
          <w:szCs w:val="32"/>
        </w:rPr>
        <w:t>。</w:t>
      </w:r>
    </w:p>
    <w:p w14:paraId="50A72569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）血红蛋白＜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6060D7">
          <w:rPr>
            <w:rFonts w:ascii="仿宋_GB2312" w:eastAsia="仿宋_GB2312" w:hAnsi="仿宋"/>
            <w:sz w:val="32"/>
            <w:szCs w:val="32"/>
          </w:rPr>
          <w:t>80g</w:t>
        </w:r>
      </w:smartTag>
      <w:r w:rsidRPr="006060D7">
        <w:rPr>
          <w:rFonts w:ascii="仿宋_GB2312" w:eastAsia="仿宋_GB2312" w:hAnsi="仿宋"/>
          <w:sz w:val="32"/>
          <w:szCs w:val="32"/>
        </w:rPr>
        <w:t>/L</w:t>
      </w:r>
      <w:r w:rsidRPr="006060D7">
        <w:rPr>
          <w:rFonts w:ascii="仿宋_GB2312" w:eastAsia="仿宋_GB2312" w:hAnsi="仿宋" w:hint="eastAsia"/>
          <w:sz w:val="32"/>
          <w:szCs w:val="32"/>
        </w:rPr>
        <w:t>，高龄、有基础心脑血管疾病者输血指征可适当放宽。</w:t>
      </w:r>
    </w:p>
    <w:p w14:paraId="3752FAB2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3</w:t>
      </w:r>
      <w:r w:rsidRPr="006060D7">
        <w:rPr>
          <w:rFonts w:ascii="仿宋_GB2312" w:eastAsia="仿宋_GB2312" w:hAnsi="仿宋" w:hint="eastAsia"/>
          <w:sz w:val="32"/>
          <w:szCs w:val="32"/>
        </w:rPr>
        <w:t>）心率＞</w:t>
      </w:r>
      <w:r w:rsidRPr="006060D7">
        <w:rPr>
          <w:rFonts w:ascii="仿宋_GB2312" w:eastAsia="仿宋_GB2312" w:hAnsi="仿宋"/>
          <w:sz w:val="32"/>
          <w:szCs w:val="32"/>
        </w:rPr>
        <w:t>120</w:t>
      </w:r>
      <w:r w:rsidRPr="006060D7">
        <w:rPr>
          <w:rFonts w:ascii="仿宋_GB2312" w:eastAsia="仿宋_GB2312" w:hAnsi="仿宋" w:hint="eastAsia"/>
          <w:sz w:val="32"/>
          <w:szCs w:val="32"/>
        </w:rPr>
        <w:t>次</w:t>
      </w:r>
      <w:r w:rsidRPr="006060D7">
        <w:rPr>
          <w:rFonts w:ascii="仿宋_GB2312" w:eastAsia="仿宋_GB2312" w:hAnsi="仿宋"/>
          <w:sz w:val="32"/>
          <w:szCs w:val="32"/>
        </w:rPr>
        <w:t>/</w:t>
      </w:r>
      <w:r w:rsidRPr="006060D7">
        <w:rPr>
          <w:rFonts w:ascii="仿宋_GB2312" w:eastAsia="仿宋_GB2312" w:hAnsi="仿宋" w:hint="eastAsia"/>
          <w:sz w:val="32"/>
          <w:szCs w:val="32"/>
        </w:rPr>
        <w:t>分。</w:t>
      </w:r>
    </w:p>
    <w:p w14:paraId="0568586F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4.</w:t>
      </w:r>
      <w:r w:rsidRPr="006060D7">
        <w:rPr>
          <w:rFonts w:ascii="仿宋_GB2312" w:eastAsia="仿宋_GB2312" w:hAnsi="仿宋" w:hint="eastAsia"/>
          <w:sz w:val="32"/>
          <w:szCs w:val="32"/>
        </w:rPr>
        <w:t>抑酸药物</w:t>
      </w:r>
    </w:p>
    <w:p w14:paraId="0F153EAB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1</w:t>
      </w:r>
      <w:r w:rsidRPr="006060D7">
        <w:rPr>
          <w:rFonts w:ascii="仿宋_GB2312" w:eastAsia="仿宋_GB2312" w:hAnsi="仿宋" w:hint="eastAsia"/>
          <w:sz w:val="32"/>
          <w:szCs w:val="32"/>
        </w:rPr>
        <w:t>）质子泵抑制剂（</w:t>
      </w:r>
      <w:r w:rsidRPr="006060D7">
        <w:rPr>
          <w:rFonts w:ascii="仿宋_GB2312" w:eastAsia="仿宋_GB2312" w:hAnsi="仿宋"/>
          <w:sz w:val="32"/>
          <w:szCs w:val="32"/>
        </w:rPr>
        <w:t>PPI</w:t>
      </w:r>
      <w:r w:rsidRPr="006060D7">
        <w:rPr>
          <w:rFonts w:ascii="仿宋_GB2312" w:eastAsia="仿宋_GB2312" w:hAnsi="仿宋" w:hint="eastAsia"/>
          <w:sz w:val="32"/>
          <w:szCs w:val="32"/>
        </w:rPr>
        <w:t>）是最重要的治疗药物，有利于止血和预防出血。</w:t>
      </w:r>
    </w:p>
    <w:p w14:paraId="3D11DD45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）</w:t>
      </w:r>
      <w:r w:rsidRPr="006060D7">
        <w:rPr>
          <w:rFonts w:ascii="仿宋_GB2312" w:eastAsia="仿宋_GB2312" w:hAnsi="仿宋"/>
          <w:sz w:val="32"/>
          <w:szCs w:val="32"/>
        </w:rPr>
        <w:t>H</w:t>
      </w:r>
      <w:r w:rsidRPr="006060D7">
        <w:rPr>
          <w:rFonts w:ascii="仿宋_GB2312" w:eastAsia="仿宋_GB2312" w:hAnsi="仿宋"/>
          <w:sz w:val="32"/>
          <w:szCs w:val="32"/>
          <w:vertAlign w:val="subscript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受体拮抗剂（</w:t>
      </w:r>
      <w:r w:rsidRPr="006060D7">
        <w:rPr>
          <w:rFonts w:ascii="仿宋_GB2312" w:eastAsia="仿宋_GB2312" w:hAnsi="仿宋"/>
          <w:sz w:val="32"/>
          <w:szCs w:val="32"/>
        </w:rPr>
        <w:t>H</w:t>
      </w:r>
      <w:r w:rsidRPr="006060D7">
        <w:rPr>
          <w:rFonts w:ascii="仿宋_GB2312" w:eastAsia="仿宋_GB2312" w:hAnsi="仿宋"/>
          <w:sz w:val="32"/>
          <w:szCs w:val="32"/>
          <w:vertAlign w:val="subscript"/>
        </w:rPr>
        <w:t>2</w:t>
      </w:r>
      <w:r w:rsidRPr="006060D7">
        <w:rPr>
          <w:rFonts w:ascii="仿宋_GB2312" w:eastAsia="仿宋_GB2312" w:hAnsi="仿宋"/>
          <w:sz w:val="32"/>
          <w:szCs w:val="32"/>
        </w:rPr>
        <w:t>RA</w:t>
      </w:r>
      <w:r w:rsidRPr="006060D7">
        <w:rPr>
          <w:rFonts w:ascii="仿宋_GB2312" w:eastAsia="仿宋_GB2312" w:hAnsi="仿宋" w:hint="eastAsia"/>
          <w:sz w:val="32"/>
          <w:szCs w:val="32"/>
        </w:rPr>
        <w:t>）类药物仅用于出血量不大，病情稳定的患者。</w:t>
      </w:r>
    </w:p>
    <w:p w14:paraId="71626DEA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3</w:t>
      </w:r>
      <w:r w:rsidRPr="006060D7">
        <w:rPr>
          <w:rFonts w:ascii="仿宋_GB2312" w:eastAsia="仿宋_GB2312" w:hAnsi="仿宋" w:hint="eastAsia"/>
          <w:sz w:val="32"/>
          <w:szCs w:val="32"/>
        </w:rPr>
        <w:t>）必要时生长抑素及其类似物静脉输入。</w:t>
      </w:r>
    </w:p>
    <w:p w14:paraId="681F9FA5" w14:textId="77777777" w:rsidR="00691CFD" w:rsidRPr="006060D7" w:rsidRDefault="00691CFD" w:rsidP="007D03A2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Times New Roman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5.</w:t>
      </w:r>
      <w:r w:rsidRPr="006060D7">
        <w:rPr>
          <w:rFonts w:ascii="仿宋_GB2312" w:eastAsia="仿宋_GB2312" w:hAnsi="Times New Roman"/>
          <w:sz w:val="32"/>
          <w:szCs w:val="32"/>
        </w:rPr>
        <w:t xml:space="preserve"> </w:t>
      </w:r>
      <w:r w:rsidRPr="006060D7">
        <w:rPr>
          <w:rFonts w:ascii="仿宋_GB2312" w:eastAsia="仿宋_GB2312" w:hAnsi="Times New Roman" w:hint="eastAsia"/>
          <w:sz w:val="32"/>
          <w:szCs w:val="32"/>
        </w:rPr>
        <w:t>营养治疗药物：有营养风险或营养不良的患者，入院</w:t>
      </w:r>
      <w:r w:rsidRPr="006060D7">
        <w:rPr>
          <w:rFonts w:ascii="仿宋_GB2312" w:eastAsia="仿宋_GB2312" w:hAnsi="Times New Roman"/>
          <w:sz w:val="32"/>
          <w:szCs w:val="32"/>
        </w:rPr>
        <w:t>24</w:t>
      </w:r>
      <w:r w:rsidRPr="006060D7">
        <w:rPr>
          <w:rFonts w:ascii="仿宋_GB2312" w:eastAsia="仿宋_GB2312" w:hAnsi="Times New Roman" w:hint="eastAsia"/>
          <w:sz w:val="32"/>
          <w:szCs w:val="32"/>
        </w:rPr>
        <w:t>～</w:t>
      </w:r>
      <w:r w:rsidRPr="006060D7">
        <w:rPr>
          <w:rFonts w:ascii="仿宋_GB2312" w:eastAsia="仿宋_GB2312" w:hAnsi="Times New Roman"/>
          <w:sz w:val="32"/>
          <w:szCs w:val="32"/>
        </w:rPr>
        <w:t>48</w:t>
      </w:r>
      <w:r w:rsidRPr="006060D7">
        <w:rPr>
          <w:rFonts w:ascii="仿宋_GB2312" w:eastAsia="仿宋_GB2312" w:hAnsi="Times New Roman" w:hint="eastAsia"/>
          <w:sz w:val="32"/>
          <w:szCs w:val="32"/>
        </w:rPr>
        <w:t>小时内尽早启动肠内营养。肠内营养不能达到目标量</w:t>
      </w:r>
      <w:r w:rsidRPr="006060D7">
        <w:rPr>
          <w:rFonts w:ascii="仿宋_GB2312" w:eastAsia="仿宋_GB2312" w:hAnsi="Times New Roman"/>
          <w:sz w:val="32"/>
          <w:szCs w:val="32"/>
        </w:rPr>
        <w:t>60%</w:t>
      </w:r>
      <w:r w:rsidRPr="006060D7">
        <w:rPr>
          <w:rFonts w:ascii="仿宋_GB2312" w:eastAsia="仿宋_GB2312" w:hAnsi="Times New Roman" w:hint="eastAsia"/>
          <w:sz w:val="32"/>
          <w:szCs w:val="32"/>
        </w:rPr>
        <w:t>时，可选全合一的方式实施肠外营养。</w:t>
      </w:r>
    </w:p>
    <w:p w14:paraId="203C5DAD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6.</w:t>
      </w:r>
      <w:r w:rsidRPr="006060D7">
        <w:rPr>
          <w:rFonts w:ascii="仿宋_GB2312" w:eastAsia="仿宋_GB2312" w:hAnsi="仿宋" w:hint="eastAsia"/>
          <w:sz w:val="32"/>
          <w:szCs w:val="32"/>
        </w:rPr>
        <w:t>内镜检查和治疗</w:t>
      </w:r>
    </w:p>
    <w:p w14:paraId="46E27C6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6060D7">
        <w:rPr>
          <w:rFonts w:ascii="仿宋_GB2312" w:eastAsia="仿宋_GB2312" w:hAnsi="仿宋"/>
          <w:sz w:val="32"/>
          <w:szCs w:val="32"/>
        </w:rPr>
        <w:t>1</w:t>
      </w:r>
      <w:r w:rsidRPr="006060D7">
        <w:rPr>
          <w:rFonts w:ascii="仿宋_GB2312" w:eastAsia="仿宋_GB2312" w:hAnsi="仿宋" w:hint="eastAsia"/>
          <w:sz w:val="32"/>
          <w:szCs w:val="32"/>
        </w:rPr>
        <w:t>）内镜止血起效迅速，效果确切，是首选治疗。推荐用于</w:t>
      </w:r>
      <w:r w:rsidRPr="006060D7">
        <w:rPr>
          <w:rFonts w:ascii="仿宋_GB2312" w:eastAsia="仿宋_GB2312" w:hAnsi="仿宋"/>
          <w:sz w:val="32"/>
          <w:szCs w:val="32"/>
        </w:rPr>
        <w:t xml:space="preserve">Forrest </w:t>
      </w:r>
      <w:r w:rsidRPr="006060D7">
        <w:rPr>
          <w:rFonts w:ascii="仿宋_GB2312" w:eastAsia="仿宋_GB2312" w:hAnsi="仿宋" w:hint="eastAsia"/>
          <w:sz w:val="32"/>
          <w:szCs w:val="32"/>
        </w:rPr>
        <w:t>分级Ⅰ</w:t>
      </w:r>
      <w:r w:rsidRPr="006060D7">
        <w:rPr>
          <w:rFonts w:ascii="仿宋_GB2312" w:eastAsia="仿宋_GB2312" w:hAnsi="仿宋"/>
          <w:sz w:val="32"/>
          <w:szCs w:val="32"/>
        </w:rPr>
        <w:t>a</w:t>
      </w:r>
      <w:r w:rsidRPr="006060D7">
        <w:rPr>
          <w:rFonts w:ascii="仿宋_GB2312" w:eastAsia="仿宋_GB2312" w:hAnsi="仿宋" w:hint="eastAsia"/>
          <w:sz w:val="32"/>
          <w:szCs w:val="32"/>
        </w:rPr>
        <w:t>至Ⅱ</w:t>
      </w:r>
      <w:r w:rsidRPr="006060D7">
        <w:rPr>
          <w:rFonts w:ascii="仿宋_GB2312" w:eastAsia="仿宋_GB2312" w:hAnsi="仿宋"/>
          <w:sz w:val="32"/>
          <w:szCs w:val="32"/>
        </w:rPr>
        <w:t>b</w:t>
      </w:r>
      <w:r w:rsidRPr="006060D7">
        <w:rPr>
          <w:rFonts w:ascii="仿宋_GB2312" w:eastAsia="仿宋_GB2312" w:hAnsi="仿宋" w:hint="eastAsia"/>
          <w:sz w:val="32"/>
          <w:szCs w:val="32"/>
        </w:rPr>
        <w:t>的溃疡出血。常用的内镜止血方法包括药物注射、热凝止血和机械止血</w:t>
      </w:r>
      <w:r w:rsidRPr="006060D7">
        <w:rPr>
          <w:rFonts w:ascii="仿宋_GB2312" w:eastAsia="仿宋_GB2312" w:hAnsi="仿宋"/>
          <w:sz w:val="32"/>
          <w:szCs w:val="32"/>
        </w:rPr>
        <w:t>3</w:t>
      </w:r>
      <w:r w:rsidRPr="006060D7">
        <w:rPr>
          <w:rFonts w:ascii="仿宋_GB2312" w:eastAsia="仿宋_GB2312" w:hAnsi="仿宋" w:hint="eastAsia"/>
          <w:sz w:val="32"/>
          <w:szCs w:val="32"/>
        </w:rPr>
        <w:t>种方法。</w:t>
      </w:r>
    </w:p>
    <w:p w14:paraId="79CC65D8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）经过积极初始治疗</w:t>
      </w:r>
      <w:r w:rsidRPr="006060D7">
        <w:rPr>
          <w:rFonts w:ascii="仿宋_GB2312" w:eastAsia="仿宋_GB2312" w:hAnsi="仿宋"/>
          <w:sz w:val="32"/>
          <w:szCs w:val="32"/>
        </w:rPr>
        <w:t>72</w:t>
      </w:r>
      <w:r w:rsidRPr="006060D7">
        <w:rPr>
          <w:rFonts w:ascii="仿宋_GB2312" w:eastAsia="仿宋_GB2312" w:hAnsi="仿宋" w:hint="eastAsia"/>
          <w:sz w:val="32"/>
          <w:szCs w:val="32"/>
        </w:rPr>
        <w:t>小时仍有活动性出血者，根据病情复查胃镜，必要时转入其他相应路径。</w:t>
      </w:r>
    </w:p>
    <w:p w14:paraId="316C002A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3</w:t>
      </w:r>
      <w:r w:rsidRPr="006060D7">
        <w:rPr>
          <w:rFonts w:ascii="仿宋_GB2312" w:eastAsia="仿宋_GB2312" w:hAnsi="仿宋" w:hint="eastAsia"/>
          <w:sz w:val="32"/>
          <w:szCs w:val="32"/>
        </w:rPr>
        <w:t>）积极纠正循环衰竭，为内镜检查创造条件，检查过程中应酌情监测心电、血压和血氧饱和度。</w:t>
      </w:r>
    </w:p>
    <w:p w14:paraId="174F05E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7.</w:t>
      </w:r>
      <w:r w:rsidRPr="006060D7">
        <w:rPr>
          <w:rFonts w:ascii="仿宋_GB2312" w:eastAsia="仿宋_GB2312" w:hAnsi="仿宋" w:hint="eastAsia"/>
          <w:sz w:val="32"/>
          <w:szCs w:val="32"/>
        </w:rPr>
        <w:t>住院期间止血后处理</w:t>
      </w:r>
    </w:p>
    <w:p w14:paraId="4DA3378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1</w:t>
      </w:r>
      <w:r w:rsidRPr="006060D7">
        <w:rPr>
          <w:rFonts w:ascii="仿宋_GB2312" w:eastAsia="仿宋_GB2312" w:hAnsi="仿宋" w:hint="eastAsia"/>
          <w:sz w:val="32"/>
          <w:szCs w:val="32"/>
        </w:rPr>
        <w:t>）幽门螺杆菌感染者应抗幽门螺杆菌治疗。</w:t>
      </w:r>
    </w:p>
    <w:p w14:paraId="09970FF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）血止后</w:t>
      </w:r>
      <w:r w:rsidRPr="006060D7">
        <w:rPr>
          <w:rFonts w:ascii="仿宋_GB2312" w:eastAsia="仿宋_GB2312" w:hAnsi="仿宋"/>
          <w:sz w:val="32"/>
          <w:szCs w:val="32"/>
        </w:rPr>
        <w:t>24</w:t>
      </w:r>
      <w:r w:rsidRPr="006060D7">
        <w:rPr>
          <w:rFonts w:ascii="仿宋_GB2312" w:eastAsia="仿宋_GB2312" w:hAnsi="仿宋" w:cs="宋体" w:hint="eastAsia"/>
          <w:sz w:val="32"/>
          <w:szCs w:val="32"/>
        </w:rPr>
        <w:t>～</w:t>
      </w:r>
      <w:r w:rsidRPr="006060D7">
        <w:rPr>
          <w:rFonts w:ascii="仿宋_GB2312" w:eastAsia="仿宋_GB2312" w:hAnsi="仿宋"/>
          <w:sz w:val="32"/>
          <w:szCs w:val="32"/>
        </w:rPr>
        <w:t>48</w:t>
      </w:r>
      <w:r w:rsidRPr="006060D7">
        <w:rPr>
          <w:rFonts w:ascii="仿宋_GB2312" w:eastAsia="仿宋_GB2312" w:hAnsi="仿宋" w:hint="eastAsia"/>
          <w:sz w:val="32"/>
          <w:szCs w:val="32"/>
        </w:rPr>
        <w:t>小时可逐步恢复进食。</w:t>
      </w:r>
    </w:p>
    <w:p w14:paraId="034D28B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8.</w:t>
      </w:r>
      <w:r w:rsidRPr="006060D7">
        <w:rPr>
          <w:rFonts w:ascii="仿宋_GB2312" w:eastAsia="仿宋_GB2312" w:hAnsi="仿宋" w:hint="eastAsia"/>
          <w:sz w:val="32"/>
          <w:szCs w:val="32"/>
        </w:rPr>
        <w:t>出院后处理</w:t>
      </w:r>
    </w:p>
    <w:p w14:paraId="4220AD9B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1</w:t>
      </w:r>
      <w:r w:rsidRPr="006060D7">
        <w:rPr>
          <w:rFonts w:ascii="仿宋_GB2312" w:eastAsia="仿宋_GB2312" w:hAnsi="仿宋" w:hint="eastAsia"/>
          <w:sz w:val="32"/>
          <w:szCs w:val="32"/>
        </w:rPr>
        <w:t>）所有患者服用标准剂量</w:t>
      </w:r>
      <w:r w:rsidRPr="006060D7">
        <w:rPr>
          <w:rFonts w:ascii="仿宋_GB2312" w:eastAsia="仿宋_GB2312" w:hAnsi="仿宋"/>
          <w:sz w:val="32"/>
          <w:szCs w:val="32"/>
        </w:rPr>
        <w:t>PPI</w:t>
      </w:r>
      <w:r w:rsidRPr="006060D7">
        <w:rPr>
          <w:rFonts w:ascii="仿宋_GB2312" w:eastAsia="仿宋_GB2312" w:hAnsi="仿宋" w:hint="eastAsia"/>
          <w:sz w:val="32"/>
          <w:szCs w:val="32"/>
        </w:rPr>
        <w:t>达</w:t>
      </w:r>
      <w:r w:rsidRPr="006060D7">
        <w:rPr>
          <w:rFonts w:ascii="仿宋_GB2312" w:eastAsia="仿宋_GB2312" w:hAnsi="仿宋"/>
          <w:sz w:val="32"/>
          <w:szCs w:val="32"/>
        </w:rPr>
        <w:t>6</w:t>
      </w:r>
      <w:r w:rsidRPr="006060D7">
        <w:rPr>
          <w:rFonts w:ascii="仿宋_GB2312" w:eastAsia="仿宋_GB2312" w:hAnsi="仿宋" w:cs="宋体" w:hint="eastAsia"/>
          <w:sz w:val="32"/>
          <w:szCs w:val="32"/>
        </w:rPr>
        <w:t>～</w:t>
      </w:r>
      <w:r w:rsidRPr="006060D7">
        <w:rPr>
          <w:rFonts w:ascii="仿宋_GB2312" w:eastAsia="仿宋_GB2312" w:hAnsi="仿宋"/>
          <w:sz w:val="32"/>
          <w:szCs w:val="32"/>
        </w:rPr>
        <w:t>8</w:t>
      </w:r>
      <w:r w:rsidRPr="006060D7">
        <w:rPr>
          <w:rFonts w:ascii="仿宋_GB2312" w:eastAsia="仿宋_GB2312" w:hAnsi="仿宋" w:hint="eastAsia"/>
          <w:sz w:val="32"/>
          <w:szCs w:val="32"/>
        </w:rPr>
        <w:t>周，或</w:t>
      </w:r>
      <w:r w:rsidRPr="006060D7">
        <w:rPr>
          <w:rFonts w:ascii="仿宋_GB2312" w:eastAsia="仿宋_GB2312" w:hAnsi="仿宋"/>
          <w:sz w:val="32"/>
          <w:szCs w:val="32"/>
        </w:rPr>
        <w:t>H</w:t>
      </w:r>
      <w:r w:rsidRPr="006060D7">
        <w:rPr>
          <w:rFonts w:ascii="仿宋_GB2312" w:eastAsia="仿宋_GB2312" w:hAnsi="仿宋"/>
          <w:sz w:val="32"/>
          <w:szCs w:val="32"/>
          <w:vertAlign w:val="subscript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受体拮抗剂</w:t>
      </w:r>
      <w:r w:rsidRPr="006060D7">
        <w:rPr>
          <w:rFonts w:ascii="仿宋_GB2312" w:eastAsia="仿宋_GB2312" w:hAnsi="仿宋"/>
          <w:sz w:val="32"/>
          <w:szCs w:val="32"/>
        </w:rPr>
        <w:t>8</w:t>
      </w:r>
      <w:r w:rsidRPr="006060D7">
        <w:rPr>
          <w:rFonts w:ascii="仿宋_GB2312" w:eastAsia="仿宋_GB2312" w:hAnsi="仿宋" w:hint="eastAsia"/>
          <w:sz w:val="32"/>
          <w:szCs w:val="32"/>
        </w:rPr>
        <w:t>周。</w:t>
      </w:r>
    </w:p>
    <w:p w14:paraId="7AB0F012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2</w:t>
      </w:r>
      <w:r w:rsidRPr="006060D7">
        <w:rPr>
          <w:rFonts w:ascii="仿宋_GB2312" w:eastAsia="仿宋_GB2312" w:hAnsi="仿宋" w:hint="eastAsia"/>
          <w:sz w:val="32"/>
          <w:szCs w:val="32"/>
        </w:rPr>
        <w:t>）幽门螺杆菌感染者须完成标准方案的抗幽门螺杆菌治疗（</w:t>
      </w:r>
      <w:r w:rsidRPr="006060D7">
        <w:rPr>
          <w:rFonts w:ascii="仿宋_GB2312" w:eastAsia="仿宋_GB2312" w:hAnsi="仿宋"/>
          <w:sz w:val="32"/>
          <w:szCs w:val="32"/>
        </w:rPr>
        <w:t>10</w:t>
      </w:r>
      <w:r w:rsidRPr="006060D7">
        <w:rPr>
          <w:rFonts w:ascii="仿宋_GB2312" w:eastAsia="仿宋_GB2312" w:hAnsi="仿宋" w:cs="宋体" w:hint="eastAsia"/>
          <w:sz w:val="32"/>
          <w:szCs w:val="32"/>
        </w:rPr>
        <w:t>～</w:t>
      </w:r>
      <w:r w:rsidRPr="006060D7">
        <w:rPr>
          <w:rFonts w:ascii="仿宋_GB2312" w:eastAsia="仿宋_GB2312" w:hAnsi="仿宋"/>
          <w:sz w:val="32"/>
          <w:szCs w:val="32"/>
        </w:rPr>
        <w:t>14</w:t>
      </w:r>
      <w:r w:rsidRPr="006060D7">
        <w:rPr>
          <w:rFonts w:ascii="仿宋_GB2312" w:eastAsia="仿宋_GB2312" w:hAnsi="仿宋" w:hint="eastAsia"/>
          <w:sz w:val="32"/>
          <w:szCs w:val="32"/>
        </w:rPr>
        <w:t>天）。</w:t>
      </w:r>
    </w:p>
    <w:p w14:paraId="70F6CE6F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3</w:t>
      </w:r>
      <w:r w:rsidRPr="006060D7">
        <w:rPr>
          <w:rFonts w:ascii="仿宋_GB2312" w:eastAsia="仿宋_GB2312" w:hAnsi="仿宋" w:hint="eastAsia"/>
          <w:sz w:val="32"/>
          <w:szCs w:val="32"/>
        </w:rPr>
        <w:t>）黏膜保护。</w:t>
      </w:r>
    </w:p>
    <w:p w14:paraId="475A67BE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 w:hint="eastAsia"/>
          <w:sz w:val="32"/>
          <w:szCs w:val="32"/>
        </w:rPr>
        <w:t>（</w:t>
      </w:r>
      <w:r w:rsidRPr="006060D7">
        <w:rPr>
          <w:rFonts w:ascii="仿宋_GB2312" w:eastAsia="仿宋_GB2312" w:hAnsi="仿宋"/>
          <w:sz w:val="32"/>
          <w:szCs w:val="32"/>
        </w:rPr>
        <w:t>4</w:t>
      </w:r>
      <w:r w:rsidRPr="006060D7">
        <w:rPr>
          <w:rFonts w:ascii="仿宋_GB2312" w:eastAsia="仿宋_GB2312" w:hAnsi="仿宋" w:hint="eastAsia"/>
          <w:sz w:val="32"/>
          <w:szCs w:val="32"/>
        </w:rPr>
        <w:t>）</w:t>
      </w:r>
      <w:r w:rsidRPr="006060D7">
        <w:rPr>
          <w:rFonts w:ascii="仿宋_GB2312" w:eastAsia="仿宋_GB2312" w:hAnsi="仿宋" w:hint="eastAsia"/>
          <w:spacing w:val="-6"/>
          <w:sz w:val="32"/>
          <w:szCs w:val="32"/>
        </w:rPr>
        <w:t>门诊随访，鼓励改变生活方式，戒烟酒，健康饮食。</w:t>
      </w:r>
    </w:p>
    <w:p w14:paraId="724AC1C2" w14:textId="77777777" w:rsidR="00691CFD" w:rsidRPr="00633D16" w:rsidRDefault="00691CFD" w:rsidP="00633D16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 w:hAnsi="Times New Roman"/>
          <w:b/>
          <w:bCs/>
          <w:sz w:val="32"/>
          <w:szCs w:val="32"/>
        </w:rPr>
      </w:pPr>
      <w:r w:rsidRPr="00633D16">
        <w:rPr>
          <w:rFonts w:ascii="楷体_GB2312" w:eastAsia="楷体_GB2312" w:hAnsi="Times New Roman" w:hint="eastAsia"/>
          <w:b/>
          <w:bCs/>
          <w:sz w:val="32"/>
          <w:szCs w:val="32"/>
        </w:rPr>
        <w:t>（八）出院标准</w:t>
      </w:r>
    </w:p>
    <w:p w14:paraId="38F8123C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1.</w:t>
      </w:r>
      <w:r w:rsidRPr="006060D7">
        <w:rPr>
          <w:rFonts w:ascii="仿宋_GB2312" w:eastAsia="仿宋_GB2312" w:hAnsi="仿宋" w:hint="eastAsia"/>
          <w:sz w:val="32"/>
          <w:szCs w:val="32"/>
        </w:rPr>
        <w:t>活动性出血已止。</w:t>
      </w:r>
    </w:p>
    <w:p w14:paraId="1FE04ADC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2.</w:t>
      </w:r>
      <w:r w:rsidRPr="006060D7">
        <w:rPr>
          <w:rFonts w:ascii="仿宋_GB2312" w:eastAsia="仿宋_GB2312" w:hAnsi="仿宋" w:hint="eastAsia"/>
          <w:sz w:val="32"/>
          <w:szCs w:val="32"/>
        </w:rPr>
        <w:t>已经开始进食，</w:t>
      </w:r>
      <w:r w:rsidRPr="006060D7">
        <w:rPr>
          <w:rFonts w:ascii="仿宋_GB2312" w:eastAsia="仿宋_GB2312" w:hint="eastAsia"/>
          <w:sz w:val="32"/>
          <w:szCs w:val="32"/>
        </w:rPr>
        <w:t>营养摄入状况改善或营养状态稳定，</w:t>
      </w:r>
      <w:r w:rsidRPr="006060D7">
        <w:rPr>
          <w:rFonts w:ascii="仿宋_GB2312" w:eastAsia="仿宋_GB2312" w:hAnsi="仿宋" w:hint="eastAsia"/>
          <w:sz w:val="32"/>
          <w:szCs w:val="32"/>
        </w:rPr>
        <w:t>一般情况良好。</w:t>
      </w:r>
    </w:p>
    <w:p w14:paraId="7AA4A333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3.</w:t>
      </w:r>
      <w:r w:rsidRPr="006060D7">
        <w:rPr>
          <w:rFonts w:ascii="仿宋_GB2312" w:eastAsia="仿宋_GB2312" w:hAnsi="仿宋" w:hint="eastAsia"/>
          <w:sz w:val="32"/>
          <w:szCs w:val="32"/>
        </w:rPr>
        <w:t>没有需要住院处理的并发症和（或）合并症。</w:t>
      </w:r>
    </w:p>
    <w:p w14:paraId="1915CE18" w14:textId="77777777" w:rsidR="00691CFD" w:rsidRPr="00633D16" w:rsidRDefault="00691CFD" w:rsidP="00633D16">
      <w:pPr>
        <w:autoSpaceDE w:val="0"/>
        <w:autoSpaceDN w:val="0"/>
        <w:adjustRightInd w:val="0"/>
        <w:spacing w:line="360" w:lineRule="auto"/>
        <w:ind w:left="1" w:firstLineChars="225" w:firstLine="723"/>
        <w:rPr>
          <w:rFonts w:ascii="楷体_GB2312" w:eastAsia="楷体_GB2312" w:hAnsi="Times New Roman"/>
          <w:b/>
          <w:bCs/>
          <w:sz w:val="32"/>
          <w:szCs w:val="32"/>
        </w:rPr>
      </w:pPr>
      <w:r w:rsidRPr="00633D16"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>（九）变异及原因分析</w:t>
      </w:r>
    </w:p>
    <w:p w14:paraId="74903E37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1.</w:t>
      </w:r>
      <w:r w:rsidRPr="006060D7">
        <w:rPr>
          <w:rFonts w:ascii="仿宋_GB2312" w:eastAsia="仿宋_GB2312" w:hAnsi="仿宋" w:hint="eastAsia"/>
          <w:sz w:val="32"/>
          <w:szCs w:val="32"/>
        </w:rPr>
        <w:t>根据患者年龄、基础疾病、出血量、生命体征和血红蛋白变化情况估计病情严重程度。对于生命体征不稳定、休克、意识障碍、血红蛋白降至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6060D7">
          <w:rPr>
            <w:rFonts w:ascii="仿宋_GB2312" w:eastAsia="仿宋_GB2312" w:hAnsi="仿宋"/>
            <w:sz w:val="32"/>
            <w:szCs w:val="32"/>
          </w:rPr>
          <w:t>80g</w:t>
        </w:r>
      </w:smartTag>
      <w:r w:rsidRPr="006060D7">
        <w:rPr>
          <w:rFonts w:ascii="仿宋_GB2312" w:eastAsia="仿宋_GB2312" w:hAnsi="仿宋"/>
          <w:sz w:val="32"/>
          <w:szCs w:val="32"/>
        </w:rPr>
        <w:t>/L</w:t>
      </w:r>
      <w:r w:rsidRPr="006060D7">
        <w:rPr>
          <w:rFonts w:ascii="仿宋_GB2312" w:eastAsia="仿宋_GB2312" w:hAnsi="仿宋" w:hint="eastAsia"/>
          <w:sz w:val="32"/>
          <w:szCs w:val="32"/>
        </w:rPr>
        <w:t>以下的高危患者，应转其他路径。</w:t>
      </w:r>
    </w:p>
    <w:p w14:paraId="5CAFB977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2.</w:t>
      </w:r>
      <w:r w:rsidRPr="006060D7">
        <w:rPr>
          <w:rFonts w:ascii="仿宋_GB2312" w:eastAsia="仿宋_GB2312" w:hAnsi="仿宋" w:hint="eastAsia"/>
          <w:sz w:val="32"/>
          <w:szCs w:val="32"/>
        </w:rPr>
        <w:t>需要药物以外的其他治疗方式，如介入或手术治疗者应转相应路径。</w:t>
      </w:r>
    </w:p>
    <w:p w14:paraId="5C6B033D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3.</w:t>
      </w:r>
      <w:r w:rsidRPr="006060D7">
        <w:rPr>
          <w:rFonts w:ascii="仿宋_GB2312" w:eastAsia="仿宋_GB2312" w:hAnsi="仿宋" w:hint="eastAsia"/>
          <w:sz w:val="32"/>
          <w:szCs w:val="32"/>
        </w:rPr>
        <w:t>因消化道出血而诱发其他系统病变，例如吸入性肺炎、肾功能衰竭、缺血性心脏病等，建议进入相关疾病的临床路径。</w:t>
      </w:r>
    </w:p>
    <w:p w14:paraId="1068226A" w14:textId="77777777" w:rsidR="00691CFD" w:rsidRPr="006060D7" w:rsidRDefault="00691CFD" w:rsidP="00856B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60D7">
        <w:rPr>
          <w:rFonts w:ascii="仿宋_GB2312" w:eastAsia="仿宋_GB2312" w:hAnsi="仿宋"/>
          <w:sz w:val="32"/>
          <w:szCs w:val="32"/>
        </w:rPr>
        <w:t>4.</w:t>
      </w:r>
      <w:r w:rsidRPr="006060D7">
        <w:rPr>
          <w:rFonts w:ascii="仿宋_GB2312" w:eastAsia="仿宋_GB2312" w:hAnsi="仿宋" w:hint="eastAsia"/>
          <w:sz w:val="32"/>
          <w:szCs w:val="32"/>
        </w:rPr>
        <w:t>收治十二指肠溃疡出血的医院应具备：设施完备的内镜室和有经验的内镜医师；可提供</w:t>
      </w:r>
      <w:r w:rsidRPr="006060D7">
        <w:rPr>
          <w:rFonts w:ascii="仿宋_GB2312" w:eastAsia="仿宋_GB2312" w:hAnsi="仿宋"/>
          <w:sz w:val="32"/>
          <w:szCs w:val="32"/>
        </w:rPr>
        <w:t>24</w:t>
      </w:r>
      <w:r w:rsidRPr="006060D7">
        <w:rPr>
          <w:rFonts w:ascii="仿宋_GB2312" w:eastAsia="仿宋_GB2312" w:hAnsi="仿宋" w:hint="eastAsia"/>
          <w:sz w:val="32"/>
          <w:szCs w:val="32"/>
        </w:rPr>
        <w:t>小时服务的血库；掌握中心静脉插管和气管插管技术的急救人员。</w:t>
      </w:r>
    </w:p>
    <w:p w14:paraId="05FCFB87" w14:textId="77777777" w:rsidR="00691CFD" w:rsidRPr="007529B0" w:rsidRDefault="00691CFD" w:rsidP="00633D16">
      <w:pPr>
        <w:autoSpaceDE w:val="0"/>
        <w:autoSpaceDN w:val="0"/>
        <w:adjustRightInd w:val="0"/>
        <w:spacing w:line="360" w:lineRule="auto"/>
        <w:ind w:left="1" w:firstLineChars="225" w:firstLine="540"/>
        <w:rPr>
          <w:rFonts w:ascii="仿宋_GB2312" w:eastAsia="仿宋_GB2312"/>
          <w:sz w:val="24"/>
          <w:szCs w:val="24"/>
        </w:rPr>
      </w:pPr>
    </w:p>
    <w:p w14:paraId="554A144D" w14:textId="77777777" w:rsidR="00691CFD" w:rsidRPr="007529B0" w:rsidRDefault="00691CFD" w:rsidP="00633D16">
      <w:pPr>
        <w:adjustRightInd w:val="0"/>
        <w:snapToGrid w:val="0"/>
        <w:spacing w:line="276" w:lineRule="auto"/>
        <w:ind w:firstLineChars="200" w:firstLine="480"/>
        <w:contextualSpacing/>
        <w:rPr>
          <w:rFonts w:ascii="黑体" w:eastAsia="黑体" w:hAnsi="宋体"/>
          <w:sz w:val="32"/>
          <w:szCs w:val="32"/>
        </w:rPr>
      </w:pPr>
      <w:r w:rsidRPr="007529B0">
        <w:rPr>
          <w:rFonts w:ascii="仿宋_GB2312" w:eastAsia="仿宋_GB2312"/>
          <w:sz w:val="24"/>
          <w:szCs w:val="24"/>
        </w:rPr>
        <w:br w:type="page"/>
      </w:r>
      <w:r w:rsidRPr="007529B0">
        <w:rPr>
          <w:rFonts w:ascii="黑体" w:eastAsia="黑体" w:hAnsi="宋体" w:hint="eastAsia"/>
          <w:sz w:val="32"/>
          <w:szCs w:val="32"/>
        </w:rPr>
        <w:lastRenderedPageBreak/>
        <w:t>二、十二指肠溃疡出血临床路径表单</w:t>
      </w:r>
    </w:p>
    <w:p w14:paraId="15F9B8E6" w14:textId="77777777" w:rsidR="00691CFD" w:rsidRPr="007529B0" w:rsidRDefault="00691CFD" w:rsidP="00827026">
      <w:pPr>
        <w:snapToGrid w:val="0"/>
        <w:jc w:val="left"/>
        <w:rPr>
          <w:rFonts w:ascii="宋体"/>
          <w:szCs w:val="21"/>
        </w:rPr>
      </w:pPr>
      <w:r w:rsidRPr="007529B0">
        <w:rPr>
          <w:rFonts w:ascii="宋体" w:hAnsi="宋体" w:hint="eastAsia"/>
          <w:szCs w:val="21"/>
        </w:rPr>
        <w:t>适用对象</w:t>
      </w:r>
      <w:r w:rsidRPr="00633D16">
        <w:rPr>
          <w:rFonts w:ascii="宋体" w:hAnsi="宋体" w:hint="eastAsia"/>
          <w:szCs w:val="21"/>
        </w:rPr>
        <w:t>：第一诊断为</w:t>
      </w:r>
      <w:r w:rsidRPr="007529B0">
        <w:rPr>
          <w:rFonts w:ascii="宋体" w:hAnsi="宋体" w:hint="eastAsia"/>
          <w:szCs w:val="21"/>
        </w:rPr>
        <w:t>十二指肠溃疡出血的患者（</w:t>
      </w:r>
      <w:r w:rsidRPr="007529B0">
        <w:rPr>
          <w:rFonts w:ascii="宋体" w:hAnsi="宋体"/>
          <w:szCs w:val="21"/>
        </w:rPr>
        <w:t>ICD-10</w:t>
      </w:r>
      <w:r w:rsidRPr="007529B0">
        <w:rPr>
          <w:rFonts w:ascii="宋体" w:hAnsi="宋体" w:hint="eastAsia"/>
          <w:szCs w:val="21"/>
        </w:rPr>
        <w:t>：</w:t>
      </w:r>
      <w:r w:rsidRPr="007529B0">
        <w:rPr>
          <w:rFonts w:ascii="宋体" w:hAnsi="宋体"/>
          <w:szCs w:val="21"/>
        </w:rPr>
        <w:t>K26.000/K26.001/K26.400/</w:t>
      </w:r>
    </w:p>
    <w:p w14:paraId="28370AC0" w14:textId="77777777" w:rsidR="00691CFD" w:rsidRPr="007529B0" w:rsidRDefault="00691CFD" w:rsidP="00633D16">
      <w:pPr>
        <w:snapToGrid w:val="0"/>
        <w:ind w:firstLineChars="500" w:firstLine="1050"/>
        <w:jc w:val="left"/>
        <w:rPr>
          <w:rFonts w:ascii="宋体"/>
          <w:szCs w:val="21"/>
        </w:rPr>
      </w:pPr>
      <w:r w:rsidRPr="007529B0">
        <w:rPr>
          <w:rFonts w:ascii="宋体" w:hAnsi="宋体"/>
          <w:szCs w:val="21"/>
        </w:rPr>
        <w:t>K26.401</w:t>
      </w:r>
      <w:r w:rsidRPr="007529B0">
        <w:rPr>
          <w:rFonts w:ascii="宋体" w:hAnsi="宋体" w:hint="eastAsia"/>
          <w:szCs w:val="21"/>
        </w:rPr>
        <w:t>）</w:t>
      </w:r>
    </w:p>
    <w:p w14:paraId="62A42E41" w14:textId="77777777" w:rsidR="00691CFD" w:rsidRPr="007529B0" w:rsidRDefault="00691CFD" w:rsidP="00827026">
      <w:pPr>
        <w:snapToGrid w:val="0"/>
        <w:rPr>
          <w:rFonts w:ascii="宋体"/>
          <w:szCs w:val="21"/>
        </w:rPr>
      </w:pPr>
      <w:r w:rsidRPr="007529B0">
        <w:rPr>
          <w:rFonts w:ascii="宋体" w:hAnsi="宋体" w:hint="eastAsia"/>
          <w:szCs w:val="21"/>
        </w:rPr>
        <w:t>患者姓名：</w:t>
      </w:r>
      <w:r w:rsidRPr="007529B0">
        <w:rPr>
          <w:rFonts w:ascii="宋体" w:hAnsi="宋体"/>
          <w:szCs w:val="21"/>
          <w:u w:val="single"/>
        </w:rPr>
        <w:t xml:space="preserve">       </w:t>
      </w:r>
      <w:r w:rsidRPr="007529B0">
        <w:rPr>
          <w:rFonts w:ascii="宋体" w:hAnsi="宋体"/>
          <w:szCs w:val="21"/>
        </w:rPr>
        <w:t xml:space="preserve">  </w:t>
      </w:r>
      <w:r w:rsidRPr="007529B0">
        <w:rPr>
          <w:rFonts w:ascii="宋体" w:hAnsi="宋体" w:hint="eastAsia"/>
          <w:szCs w:val="21"/>
        </w:rPr>
        <w:t>性别：</w:t>
      </w:r>
      <w:r w:rsidRPr="007529B0">
        <w:rPr>
          <w:rFonts w:ascii="宋体" w:hAnsi="宋体"/>
          <w:szCs w:val="21"/>
          <w:u w:val="single"/>
        </w:rPr>
        <w:t xml:space="preserve">     </w:t>
      </w:r>
      <w:r w:rsidRPr="007529B0">
        <w:rPr>
          <w:rFonts w:ascii="宋体" w:hAnsi="宋体"/>
          <w:szCs w:val="21"/>
        </w:rPr>
        <w:t xml:space="preserve">  </w:t>
      </w:r>
      <w:r w:rsidRPr="007529B0">
        <w:rPr>
          <w:rFonts w:ascii="宋体" w:hAnsi="宋体" w:hint="eastAsia"/>
          <w:szCs w:val="21"/>
        </w:rPr>
        <w:t>年龄：</w:t>
      </w:r>
      <w:r w:rsidRPr="007529B0">
        <w:rPr>
          <w:rFonts w:ascii="宋体" w:hAnsi="宋体"/>
          <w:szCs w:val="21"/>
          <w:u w:val="single"/>
        </w:rPr>
        <w:t xml:space="preserve">     </w:t>
      </w:r>
      <w:r w:rsidRPr="007529B0">
        <w:rPr>
          <w:rFonts w:ascii="宋体" w:hAnsi="宋体"/>
          <w:szCs w:val="21"/>
        </w:rPr>
        <w:t xml:space="preserve">  </w:t>
      </w:r>
      <w:r w:rsidRPr="007529B0">
        <w:rPr>
          <w:rFonts w:ascii="宋体" w:hAnsi="宋体" w:hint="eastAsia"/>
          <w:szCs w:val="21"/>
        </w:rPr>
        <w:t>门诊号：</w:t>
      </w:r>
      <w:r w:rsidRPr="007529B0">
        <w:rPr>
          <w:rFonts w:ascii="宋体" w:hAnsi="宋体"/>
          <w:szCs w:val="21"/>
          <w:u w:val="single"/>
        </w:rPr>
        <w:t xml:space="preserve">         </w:t>
      </w:r>
      <w:r w:rsidRPr="007529B0">
        <w:rPr>
          <w:rFonts w:ascii="宋体" w:hAnsi="宋体"/>
          <w:szCs w:val="21"/>
        </w:rPr>
        <w:t xml:space="preserve">  </w:t>
      </w:r>
      <w:r w:rsidRPr="007529B0">
        <w:rPr>
          <w:rFonts w:ascii="宋体" w:hAnsi="宋体" w:hint="eastAsia"/>
          <w:szCs w:val="21"/>
        </w:rPr>
        <w:t>住院号：</w:t>
      </w:r>
      <w:r w:rsidRPr="007529B0">
        <w:rPr>
          <w:rFonts w:ascii="宋体" w:hAnsi="宋体"/>
          <w:szCs w:val="21"/>
          <w:u w:val="single"/>
        </w:rPr>
        <w:t xml:space="preserve">         </w:t>
      </w:r>
    </w:p>
    <w:p w14:paraId="4F8F70E5" w14:textId="77777777" w:rsidR="00691CFD" w:rsidRPr="007529B0" w:rsidRDefault="00691CFD" w:rsidP="00827026">
      <w:pPr>
        <w:snapToGrid w:val="0"/>
        <w:rPr>
          <w:rFonts w:ascii="宋体"/>
          <w:szCs w:val="21"/>
        </w:rPr>
      </w:pPr>
      <w:r w:rsidRPr="007529B0">
        <w:rPr>
          <w:rFonts w:ascii="宋体" w:hAnsi="宋体" w:hint="eastAsia"/>
          <w:szCs w:val="21"/>
        </w:rPr>
        <w:t>住院日期：</w:t>
      </w:r>
      <w:r w:rsidRPr="007529B0">
        <w:rPr>
          <w:rFonts w:ascii="宋体" w:hAnsi="宋体"/>
          <w:szCs w:val="21"/>
          <w:u w:val="single"/>
        </w:rPr>
        <w:t xml:space="preserve">     </w:t>
      </w:r>
      <w:r w:rsidRPr="007529B0">
        <w:rPr>
          <w:rFonts w:ascii="宋体" w:hAnsi="宋体" w:hint="eastAsia"/>
          <w:szCs w:val="21"/>
        </w:rPr>
        <w:t>年</w:t>
      </w:r>
      <w:r w:rsidRPr="007529B0">
        <w:rPr>
          <w:rFonts w:ascii="宋体" w:hAnsi="宋体"/>
          <w:szCs w:val="21"/>
          <w:u w:val="single"/>
        </w:rPr>
        <w:t xml:space="preserve">   </w:t>
      </w:r>
      <w:r w:rsidRPr="007529B0">
        <w:rPr>
          <w:rFonts w:ascii="宋体" w:hAnsi="宋体" w:hint="eastAsia"/>
          <w:szCs w:val="21"/>
        </w:rPr>
        <w:t>月</w:t>
      </w:r>
      <w:r w:rsidRPr="007529B0">
        <w:rPr>
          <w:rFonts w:ascii="宋体" w:hAnsi="宋体"/>
          <w:szCs w:val="21"/>
          <w:u w:val="single"/>
        </w:rPr>
        <w:t xml:space="preserve">   </w:t>
      </w:r>
      <w:r w:rsidRPr="007529B0">
        <w:rPr>
          <w:rFonts w:ascii="宋体" w:hAnsi="宋体" w:hint="eastAsia"/>
          <w:szCs w:val="21"/>
        </w:rPr>
        <w:t>日</w:t>
      </w:r>
      <w:r w:rsidRPr="007529B0">
        <w:rPr>
          <w:rFonts w:ascii="宋体" w:hAnsi="宋体"/>
          <w:szCs w:val="21"/>
        </w:rPr>
        <w:t xml:space="preserve">    </w:t>
      </w:r>
      <w:r w:rsidRPr="007529B0">
        <w:rPr>
          <w:rFonts w:ascii="宋体" w:hAnsi="宋体" w:hint="eastAsia"/>
          <w:szCs w:val="21"/>
        </w:rPr>
        <w:t>出院日期：</w:t>
      </w:r>
      <w:r w:rsidRPr="007529B0">
        <w:rPr>
          <w:rFonts w:ascii="宋体" w:hAnsi="宋体"/>
          <w:szCs w:val="21"/>
          <w:u w:val="single"/>
        </w:rPr>
        <w:t xml:space="preserve">     </w:t>
      </w:r>
      <w:r w:rsidRPr="007529B0">
        <w:rPr>
          <w:rFonts w:ascii="宋体" w:hAnsi="宋体" w:hint="eastAsia"/>
          <w:szCs w:val="21"/>
        </w:rPr>
        <w:t>年</w:t>
      </w:r>
      <w:r w:rsidRPr="007529B0">
        <w:rPr>
          <w:rFonts w:ascii="宋体" w:hAnsi="宋体"/>
          <w:szCs w:val="21"/>
          <w:u w:val="single"/>
        </w:rPr>
        <w:t xml:space="preserve">   </w:t>
      </w:r>
      <w:r w:rsidRPr="007529B0">
        <w:rPr>
          <w:rFonts w:ascii="宋体" w:hAnsi="宋体" w:hint="eastAsia"/>
          <w:szCs w:val="21"/>
        </w:rPr>
        <w:t>月</w:t>
      </w:r>
      <w:r w:rsidRPr="007529B0">
        <w:rPr>
          <w:rFonts w:ascii="宋体" w:hAnsi="宋体"/>
          <w:szCs w:val="21"/>
          <w:u w:val="single"/>
        </w:rPr>
        <w:t xml:space="preserve">   </w:t>
      </w:r>
      <w:r w:rsidRPr="007529B0">
        <w:rPr>
          <w:rFonts w:ascii="宋体" w:hAnsi="宋体" w:hint="eastAsia"/>
          <w:szCs w:val="21"/>
        </w:rPr>
        <w:t>日</w:t>
      </w:r>
      <w:r w:rsidRPr="007529B0">
        <w:rPr>
          <w:rFonts w:ascii="宋体" w:hAnsi="宋体"/>
          <w:szCs w:val="21"/>
        </w:rPr>
        <w:t xml:space="preserve">   </w:t>
      </w:r>
      <w:r w:rsidRPr="007529B0">
        <w:rPr>
          <w:rFonts w:ascii="宋体" w:hAnsi="宋体" w:hint="eastAsia"/>
          <w:szCs w:val="21"/>
        </w:rPr>
        <w:t>标准住院日：</w:t>
      </w:r>
      <w:r w:rsidRPr="007529B0">
        <w:rPr>
          <w:rFonts w:ascii="宋体" w:hAnsi="宋体"/>
          <w:szCs w:val="21"/>
        </w:rPr>
        <w:t>7</w:t>
      </w:r>
      <w:r w:rsidRPr="007529B0">
        <w:rPr>
          <w:rFonts w:ascii="宋体" w:hAnsi="宋体" w:hint="eastAsia"/>
          <w:szCs w:val="21"/>
        </w:rPr>
        <w:t>～</w:t>
      </w:r>
      <w:r w:rsidRPr="007529B0">
        <w:rPr>
          <w:rFonts w:ascii="宋体" w:hAnsi="宋体"/>
          <w:szCs w:val="21"/>
        </w:rPr>
        <w:t>8</w:t>
      </w:r>
      <w:r w:rsidRPr="007529B0">
        <w:rPr>
          <w:rFonts w:ascii="宋体" w:hAnsi="宋体" w:hint="eastAsia"/>
          <w:szCs w:val="21"/>
        </w:rPr>
        <w:t>日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76"/>
        <w:gridCol w:w="4302"/>
      </w:tblGrid>
      <w:tr w:rsidR="00691CFD" w:rsidRPr="007529B0" w14:paraId="442A23F0" w14:textId="77777777" w:rsidTr="00827026">
        <w:trPr>
          <w:trHeight w:val="435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ACFA4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CA73C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住院第</w:t>
            </w:r>
            <w:r w:rsidRPr="007529B0">
              <w:rPr>
                <w:rFonts w:ascii="黑体" w:eastAsia="黑体" w:hAnsi="黑体"/>
                <w:szCs w:val="21"/>
              </w:rPr>
              <w:t>1</w:t>
            </w:r>
            <w:r w:rsidRPr="007529B0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88EC6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住院第</w:t>
            </w:r>
            <w:r w:rsidRPr="007529B0">
              <w:rPr>
                <w:rFonts w:ascii="黑体" w:eastAsia="黑体" w:hAnsi="黑体"/>
                <w:szCs w:val="21"/>
              </w:rPr>
              <w:t>2</w:t>
            </w:r>
            <w:r w:rsidRPr="007529B0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691CFD" w:rsidRPr="007529B0" w14:paraId="76D65977" w14:textId="77777777" w:rsidTr="00827026">
        <w:trPr>
          <w:trHeight w:val="2038"/>
          <w:jc w:val="center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782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</w:t>
            </w:r>
          </w:p>
          <w:p w14:paraId="765AE1A1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要</w:t>
            </w:r>
          </w:p>
          <w:p w14:paraId="178ED48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诊</w:t>
            </w:r>
          </w:p>
          <w:p w14:paraId="5D7CF0D3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疗</w:t>
            </w:r>
          </w:p>
          <w:p w14:paraId="1D2FB30F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</w:t>
            </w:r>
          </w:p>
          <w:p w14:paraId="49F50936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3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F306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询问病史及体格检查</w:t>
            </w:r>
          </w:p>
          <w:p w14:paraId="3CA022A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完成病历书写</w:t>
            </w:r>
          </w:p>
          <w:p w14:paraId="665E2E9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安排入院常规检查</w:t>
            </w:r>
          </w:p>
          <w:p w14:paraId="462E537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上级医师查房及病情评估</w:t>
            </w:r>
          </w:p>
          <w:p w14:paraId="7A44B25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根据病情决定是否输血</w:t>
            </w:r>
          </w:p>
          <w:p w14:paraId="387A1FE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签署输血同意书、抢救同意书</w:t>
            </w:r>
          </w:p>
          <w:p w14:paraId="40269D3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进行营养筛查与评估</w:t>
            </w:r>
          </w:p>
        </w:tc>
        <w:tc>
          <w:tcPr>
            <w:tcW w:w="43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E91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上级医师查房</w:t>
            </w:r>
          </w:p>
          <w:p w14:paraId="347D704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完成入院常规检查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</w:p>
          <w:p w14:paraId="4B49018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根据病情决定是否输血</w:t>
            </w:r>
          </w:p>
          <w:p w14:paraId="4ACB5DB2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完成上级医师查房记录等病历书写</w:t>
            </w:r>
          </w:p>
        </w:tc>
      </w:tr>
      <w:tr w:rsidR="00691CFD" w:rsidRPr="007529B0" w14:paraId="5F2EA161" w14:textId="77777777" w:rsidTr="00827026">
        <w:trPr>
          <w:trHeight w:val="4499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32856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重</w:t>
            </w:r>
          </w:p>
          <w:p w14:paraId="7D9F39B0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点</w:t>
            </w:r>
          </w:p>
          <w:p w14:paraId="60751BF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医</w:t>
            </w:r>
          </w:p>
          <w:p w14:paraId="07BE6C23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1DEF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56541B8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内科护理常规</w:t>
            </w:r>
          </w:p>
          <w:p w14:paraId="73B13C12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一级</w:t>
            </w:r>
            <w:r w:rsidRPr="007529B0">
              <w:rPr>
                <w:rFonts w:ascii="宋体" w:hAnsi="宋体"/>
                <w:szCs w:val="21"/>
              </w:rPr>
              <w:t>/</w:t>
            </w:r>
            <w:r w:rsidRPr="007529B0">
              <w:rPr>
                <w:rFonts w:ascii="宋体" w:hAnsi="宋体" w:hint="eastAsia"/>
                <w:szCs w:val="21"/>
              </w:rPr>
              <w:t>特级护理</w:t>
            </w:r>
          </w:p>
          <w:p w14:paraId="715A6E8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病重</w:t>
            </w:r>
            <w:r w:rsidRPr="007529B0">
              <w:rPr>
                <w:rFonts w:ascii="宋体" w:hAnsi="宋体"/>
                <w:szCs w:val="21"/>
              </w:rPr>
              <w:t>/</w:t>
            </w:r>
            <w:r w:rsidRPr="007529B0">
              <w:rPr>
                <w:rFonts w:ascii="宋体" w:hAnsi="宋体" w:hint="eastAsia"/>
                <w:szCs w:val="21"/>
              </w:rPr>
              <w:t>病危</w:t>
            </w:r>
          </w:p>
          <w:p w14:paraId="35502CB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禁食、禁水，记出入量</w:t>
            </w:r>
          </w:p>
          <w:p w14:paraId="5FCFDD9D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静脉输液（方案视患者情况而定）</w:t>
            </w:r>
          </w:p>
          <w:p w14:paraId="4475C34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静脉抑酸药</w:t>
            </w:r>
          </w:p>
          <w:p w14:paraId="74D13C34" w14:textId="77777777" w:rsidR="00691CFD" w:rsidRPr="007529B0" w:rsidRDefault="00691CFD" w:rsidP="00F74912">
            <w:pPr>
              <w:spacing w:line="260" w:lineRule="exact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营养治疗药物（视评估情况）</w:t>
            </w:r>
          </w:p>
          <w:p w14:paraId="19FF86B0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ADEC1B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14:paraId="4EBA50A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静脉或口服给予止血药（必要时）</w:t>
            </w:r>
          </w:p>
          <w:p w14:paraId="5CB552D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血常规、尿常规、粪便常规</w:t>
            </w:r>
            <w:r w:rsidRPr="007529B0">
              <w:rPr>
                <w:rFonts w:ascii="宋体" w:hAnsi="宋体"/>
                <w:szCs w:val="21"/>
              </w:rPr>
              <w:t>+</w:t>
            </w:r>
            <w:r w:rsidRPr="007529B0">
              <w:rPr>
                <w:rFonts w:ascii="宋体" w:hAnsi="宋体" w:hint="eastAsia"/>
                <w:szCs w:val="21"/>
              </w:rPr>
              <w:t>隐血</w:t>
            </w:r>
          </w:p>
          <w:p w14:paraId="3336D339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肝肾功能、电解质、血型、凝血功能、输血前检查</w:t>
            </w:r>
          </w:p>
          <w:p w14:paraId="59520D7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X</w:t>
            </w:r>
            <w:r w:rsidRPr="007529B0">
              <w:rPr>
                <w:rFonts w:ascii="宋体" w:hAnsi="宋体" w:hint="eastAsia"/>
                <w:szCs w:val="21"/>
              </w:rPr>
              <w:t>线胸片、心电图、腹部超声</w:t>
            </w:r>
          </w:p>
          <w:p w14:paraId="3BDC882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胃镜检查，必要时内镜下止血</w:t>
            </w:r>
          </w:p>
          <w:p w14:paraId="1660BAF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输血医嘱（必要时）</w:t>
            </w:r>
          </w:p>
          <w:p w14:paraId="17F0FA9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监测中心静脉压（必要时）</w:t>
            </w:r>
          </w:p>
          <w:p w14:paraId="12CAEF9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保留胃管记量（必要时）</w:t>
            </w:r>
          </w:p>
          <w:p w14:paraId="0E56412F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心电监护（必要时）</w:t>
            </w:r>
          </w:p>
          <w:p w14:paraId="1E0F6CF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血气分析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2E3E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457D7E3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内科护理常规</w:t>
            </w:r>
          </w:p>
          <w:p w14:paraId="7A5FDC6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一级</w:t>
            </w:r>
            <w:r w:rsidRPr="007529B0">
              <w:rPr>
                <w:rFonts w:ascii="宋体" w:hAnsi="宋体"/>
                <w:szCs w:val="21"/>
              </w:rPr>
              <w:t>/</w:t>
            </w:r>
            <w:r w:rsidRPr="007529B0">
              <w:rPr>
                <w:rFonts w:ascii="宋体" w:hAnsi="宋体" w:hint="eastAsia"/>
                <w:szCs w:val="21"/>
              </w:rPr>
              <w:t>特级护理</w:t>
            </w:r>
          </w:p>
          <w:p w14:paraId="4A96F56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病重</w:t>
            </w:r>
          </w:p>
          <w:p w14:paraId="1C51E4E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禁食、禁水，记出入量</w:t>
            </w:r>
          </w:p>
          <w:p w14:paraId="0CC78CB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静脉输液（方案视患者情况而定）</w:t>
            </w:r>
          </w:p>
          <w:p w14:paraId="5E6E5305" w14:textId="77777777" w:rsidR="00691CFD" w:rsidRPr="007529B0" w:rsidRDefault="00691CFD" w:rsidP="00827026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静脉抑酸药</w:t>
            </w:r>
          </w:p>
          <w:p w14:paraId="4973E166" w14:textId="77777777" w:rsidR="00691CFD" w:rsidRPr="007529B0" w:rsidRDefault="00691CFD" w:rsidP="00F74912">
            <w:pPr>
              <w:spacing w:line="260" w:lineRule="exact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营养治疗药物</w:t>
            </w:r>
          </w:p>
          <w:p w14:paraId="7D9AE62F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3A7D9B0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14:paraId="7FB027A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静脉或口服给予止血药（必要时）</w:t>
            </w:r>
          </w:p>
          <w:p w14:paraId="23ED93D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输血医嘱（必要时）</w:t>
            </w:r>
          </w:p>
          <w:p w14:paraId="6C4DBA9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心电监护（必要时）</w:t>
            </w:r>
          </w:p>
          <w:p w14:paraId="7CFBBC4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监测中心静脉压（必要时）</w:t>
            </w:r>
          </w:p>
          <w:p w14:paraId="6073854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保留胃管记量（必要时）</w:t>
            </w:r>
          </w:p>
          <w:p w14:paraId="4ACBD9C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腹部</w:t>
            </w:r>
            <w:r w:rsidRPr="007529B0">
              <w:rPr>
                <w:rFonts w:ascii="宋体" w:hAnsi="宋体"/>
                <w:szCs w:val="21"/>
              </w:rPr>
              <w:t>CT</w:t>
            </w:r>
            <w:r w:rsidRPr="007529B0">
              <w:rPr>
                <w:rFonts w:ascii="宋体" w:hAnsi="宋体" w:hint="eastAsia"/>
                <w:szCs w:val="21"/>
              </w:rPr>
              <w:t>（必要时）</w:t>
            </w:r>
          </w:p>
          <w:p w14:paraId="096E152A" w14:textId="77777777" w:rsidR="00691CFD" w:rsidRPr="007529B0" w:rsidRDefault="00691CFD" w:rsidP="005C556F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血常规、肝肾功能、电解质</w:t>
            </w:r>
          </w:p>
        </w:tc>
      </w:tr>
      <w:tr w:rsidR="00691CFD" w:rsidRPr="007529B0" w14:paraId="2F200465" w14:textId="77777777" w:rsidTr="00827026">
        <w:trPr>
          <w:cantSplit/>
          <w:trHeight w:val="713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FE20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主要</w:t>
            </w:r>
          </w:p>
          <w:p w14:paraId="50AEDD14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护理</w:t>
            </w:r>
          </w:p>
          <w:p w14:paraId="5F641EBB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BDD4D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介绍病房环境、设施和设备</w:t>
            </w:r>
          </w:p>
          <w:p w14:paraId="3F65A5F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入院护理评估</w:t>
            </w:r>
          </w:p>
          <w:p w14:paraId="399DE501" w14:textId="77777777" w:rsidR="00691CFD" w:rsidRPr="007529B0" w:rsidRDefault="00691CFD" w:rsidP="00F74912">
            <w:pPr>
              <w:spacing w:line="260" w:lineRule="exact"/>
              <w:rPr>
                <w:rFonts w:ascii="宋体"/>
                <w:szCs w:val="21"/>
                <w:lang w:val="en-GB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填写营养评估表</w:t>
            </w:r>
          </w:p>
          <w:p w14:paraId="79672822" w14:textId="77777777" w:rsidR="00691CFD" w:rsidRPr="007529B0" w:rsidRDefault="00691CFD" w:rsidP="00F74912">
            <w:pPr>
              <w:rPr>
                <w:rFonts w:ascii="宋体"/>
                <w:szCs w:val="21"/>
                <w:u w:val="single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营养治疗护理（遵医嘱）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993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宣教（溃疡病的知识）</w:t>
            </w:r>
          </w:p>
          <w:p w14:paraId="71B18601" w14:textId="77777777" w:rsidR="00691CFD" w:rsidRPr="007529B0" w:rsidRDefault="00691CFD" w:rsidP="00F74912">
            <w:pPr>
              <w:spacing w:line="260" w:lineRule="exact"/>
              <w:rPr>
                <w:rFonts w:ascii="宋体"/>
                <w:szCs w:val="21"/>
                <w:lang w:val="en-GB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  <w:lang w:val="en-GB"/>
              </w:rPr>
              <w:t>营养治疗护理</w:t>
            </w:r>
          </w:p>
          <w:p w14:paraId="426EC8F4" w14:textId="77777777" w:rsidR="00691CFD" w:rsidRPr="007529B0" w:rsidRDefault="00691CFD" w:rsidP="005B0F23">
            <w:pPr>
              <w:rPr>
                <w:rFonts w:ascii="宋体"/>
                <w:szCs w:val="21"/>
                <w:u w:val="single"/>
                <w:lang w:val="en-GB"/>
              </w:rPr>
            </w:pPr>
          </w:p>
        </w:tc>
      </w:tr>
      <w:tr w:rsidR="00691CFD" w:rsidRPr="007529B0" w14:paraId="09B7F00F" w14:textId="77777777" w:rsidTr="00827026">
        <w:trPr>
          <w:trHeight w:val="1058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562AA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病情</w:t>
            </w:r>
          </w:p>
          <w:p w14:paraId="38B71B01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6393C9F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7989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 w:hint="eastAsia"/>
                <w:szCs w:val="21"/>
              </w:rPr>
              <w:t>无</w:t>
            </w:r>
            <w:r w:rsidRPr="007529B0">
              <w:rPr>
                <w:rFonts w:ascii="宋体" w:hAnsi="宋体"/>
                <w:szCs w:val="21"/>
              </w:rPr>
              <w:t xml:space="preserve">  </w:t>
            </w:r>
            <w:r w:rsidRPr="007529B0">
              <w:rPr>
                <w:rFonts w:ascii="宋体" w:hAnsi="宋体" w:hint="eastAsia"/>
                <w:szCs w:val="21"/>
              </w:rPr>
              <w:t>□有，原因：</w:t>
            </w:r>
          </w:p>
          <w:p w14:paraId="1966AC5C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1.</w:t>
            </w:r>
          </w:p>
          <w:p w14:paraId="12EEF96D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38051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Ansi="宋体" w:hint="eastAsia"/>
                <w:szCs w:val="21"/>
              </w:rPr>
              <w:t>□无</w:t>
            </w:r>
            <w:r w:rsidRPr="007529B0">
              <w:rPr>
                <w:rFonts w:ascii="宋体" w:hAnsi="宋体"/>
                <w:szCs w:val="21"/>
              </w:rPr>
              <w:t xml:space="preserve">  </w:t>
            </w:r>
            <w:r w:rsidRPr="007529B0">
              <w:rPr>
                <w:rFonts w:ascii="宋体" w:hAnsi="宋体" w:hint="eastAsia"/>
                <w:szCs w:val="21"/>
              </w:rPr>
              <w:t>□有，原因：</w:t>
            </w:r>
          </w:p>
          <w:p w14:paraId="56BEACB1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1.</w:t>
            </w:r>
          </w:p>
          <w:p w14:paraId="6BF3F982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2.</w:t>
            </w:r>
          </w:p>
        </w:tc>
      </w:tr>
      <w:tr w:rsidR="00691CFD" w:rsidRPr="007529B0" w14:paraId="49C986D4" w14:textId="77777777" w:rsidTr="00827026">
        <w:trPr>
          <w:trHeight w:val="65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11E6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24793788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420AA" w14:textId="77777777" w:rsidR="00691CFD" w:rsidRPr="007529B0" w:rsidRDefault="00691CFD" w:rsidP="005B0F2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605CF" w14:textId="77777777" w:rsidR="00691CFD" w:rsidRPr="007529B0" w:rsidRDefault="00691CFD" w:rsidP="005B0F2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91CFD" w:rsidRPr="007529B0" w14:paraId="6F7387B8" w14:textId="77777777" w:rsidTr="00827026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6486F" w14:textId="77777777" w:rsidR="00691CFD" w:rsidRPr="007529B0" w:rsidRDefault="00691CFD" w:rsidP="005B0F23">
            <w:pPr>
              <w:jc w:val="center"/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lastRenderedPageBreak/>
              <w:t>医师</w:t>
            </w:r>
          </w:p>
          <w:p w14:paraId="4A55A6DC" w14:textId="77777777" w:rsidR="00691CFD" w:rsidRPr="007529B0" w:rsidRDefault="00691CFD" w:rsidP="005B0F23">
            <w:pPr>
              <w:jc w:val="center"/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签名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2C4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57E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</w:tr>
    </w:tbl>
    <w:p w14:paraId="3E2A8445" w14:textId="3178C339" w:rsidR="00691CFD" w:rsidRDefault="00633D16">
      <w:r>
        <w:br w:type="page"/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436"/>
      </w:tblGrid>
      <w:tr w:rsidR="00691CFD" w:rsidRPr="007529B0" w14:paraId="2C1A55FA" w14:textId="77777777" w:rsidTr="007529B0">
        <w:trPr>
          <w:cantSplit/>
          <w:trHeight w:val="428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13099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215C8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住院第</w:t>
            </w:r>
            <w:r w:rsidRPr="007529B0">
              <w:rPr>
                <w:rFonts w:ascii="黑体" w:eastAsia="黑体" w:hAnsi="黑体"/>
                <w:szCs w:val="21"/>
              </w:rPr>
              <w:t>3</w:t>
            </w:r>
            <w:r w:rsidRPr="007529B0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691CFD" w:rsidRPr="007529B0" w14:paraId="7D0FAC4F" w14:textId="77777777" w:rsidTr="007529B0">
        <w:trPr>
          <w:cantSplit/>
          <w:trHeight w:val="625"/>
          <w:jc w:val="center"/>
        </w:trPr>
        <w:tc>
          <w:tcPr>
            <w:tcW w:w="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12222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</w:t>
            </w:r>
          </w:p>
          <w:p w14:paraId="6E6734E3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要</w:t>
            </w:r>
          </w:p>
          <w:p w14:paraId="0864CDB2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诊</w:t>
            </w:r>
          </w:p>
          <w:p w14:paraId="1E33E86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疗</w:t>
            </w:r>
          </w:p>
          <w:p w14:paraId="4868715E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</w:t>
            </w:r>
          </w:p>
          <w:p w14:paraId="69D1FFD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84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082AB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活动性出血已停止。仍有活动性出血，无法控制者，可考虑复查胃镜，请相关科室会诊，必要时转入其他路径</w:t>
            </w:r>
          </w:p>
          <w:p w14:paraId="03B1B05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上级医师查房，评估病情，制订后续治疗方案</w:t>
            </w:r>
          </w:p>
          <w:p w14:paraId="52C7BC3F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了解幽门螺杆菌检查结果，活动性出血已止且需要抗菌治疗者可开始用药，选择阿莫西林者须做青霉素皮试</w:t>
            </w:r>
          </w:p>
          <w:p w14:paraId="538D9C4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恢复患者既往基础用药</w:t>
            </w:r>
          </w:p>
          <w:p w14:paraId="7AB0E5A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决定能否拔除胃管，允许患者进流食</w:t>
            </w:r>
          </w:p>
          <w:p w14:paraId="6F67D2D2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住院医师完成病程记录，继续监测重要脏器功能</w:t>
            </w:r>
          </w:p>
        </w:tc>
      </w:tr>
      <w:tr w:rsidR="00691CFD" w:rsidRPr="007529B0" w14:paraId="35F935B4" w14:textId="77777777" w:rsidTr="007529B0">
        <w:trPr>
          <w:cantSplit/>
          <w:trHeight w:val="62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253C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重</w:t>
            </w:r>
          </w:p>
          <w:p w14:paraId="3A65B81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点</w:t>
            </w:r>
          </w:p>
          <w:p w14:paraId="6B5505C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医</w:t>
            </w:r>
          </w:p>
          <w:p w14:paraId="37CC7E70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B56FE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22E532F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内科护理常规</w:t>
            </w:r>
          </w:p>
          <w:p w14:paraId="4DE17F7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一级</w:t>
            </w:r>
            <w:r w:rsidRPr="007529B0">
              <w:rPr>
                <w:rFonts w:ascii="宋体" w:hAnsi="宋体"/>
                <w:szCs w:val="21"/>
              </w:rPr>
              <w:t>/</w:t>
            </w:r>
            <w:r w:rsidRPr="007529B0">
              <w:rPr>
                <w:rFonts w:ascii="宋体" w:hAnsi="宋体" w:hint="eastAsia"/>
                <w:szCs w:val="21"/>
              </w:rPr>
              <w:t>特级护理</w:t>
            </w:r>
          </w:p>
          <w:p w14:paraId="5EE36EC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静脉抑酸药</w:t>
            </w:r>
          </w:p>
          <w:p w14:paraId="561E1991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既往用药</w:t>
            </w:r>
          </w:p>
          <w:p w14:paraId="5BC7B5E0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开始进流食（出血已止者）</w:t>
            </w:r>
          </w:p>
          <w:p w14:paraId="1799494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静脉输液（出血已止者可适当减少输液量）</w:t>
            </w:r>
          </w:p>
          <w:p w14:paraId="6E9D597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营养治疗药物</w:t>
            </w:r>
          </w:p>
          <w:p w14:paraId="257E5CA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BB49F6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抗幽门螺杆菌治疗（必要时）</w:t>
            </w:r>
          </w:p>
          <w:p w14:paraId="5B54D3A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14:paraId="6048198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心电监护（必要时）</w:t>
            </w:r>
          </w:p>
          <w:p w14:paraId="490795C0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监测中心静脉压（必要时）</w:t>
            </w:r>
          </w:p>
          <w:p w14:paraId="4308B47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血常规、肝肾功能、电解质</w:t>
            </w:r>
          </w:p>
          <w:p w14:paraId="3FFF877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记</w:t>
            </w:r>
            <w:r w:rsidRPr="007529B0">
              <w:rPr>
                <w:rFonts w:ascii="宋体" w:hAnsi="宋体"/>
                <w:szCs w:val="21"/>
              </w:rPr>
              <w:t>24</w:t>
            </w:r>
            <w:r w:rsidRPr="007529B0">
              <w:rPr>
                <w:rFonts w:ascii="宋体" w:hAnsi="宋体" w:hint="eastAsia"/>
                <w:szCs w:val="21"/>
              </w:rPr>
              <w:t>小时出入量</w:t>
            </w:r>
          </w:p>
          <w:p w14:paraId="48FD3C2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其他医嘱</w:t>
            </w:r>
          </w:p>
        </w:tc>
      </w:tr>
      <w:tr w:rsidR="00691CFD" w:rsidRPr="007529B0" w14:paraId="18C878C8" w14:textId="77777777" w:rsidTr="007529B0">
        <w:trPr>
          <w:cantSplit/>
          <w:trHeight w:val="62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E0133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主要</w:t>
            </w:r>
          </w:p>
          <w:p w14:paraId="46D0CDF4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护理</w:t>
            </w:r>
          </w:p>
          <w:p w14:paraId="5379EDF8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B2541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观察患者病情变化</w:t>
            </w:r>
          </w:p>
          <w:p w14:paraId="4BC0E02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心理与生活护理</w:t>
            </w:r>
          </w:p>
          <w:p w14:paraId="4163A164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指导患者饮食</w:t>
            </w:r>
          </w:p>
          <w:p w14:paraId="26334AC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  <w:lang w:val="en-GB"/>
              </w:rPr>
              <w:t>□</w:t>
            </w:r>
            <w:r w:rsidRPr="007529B0">
              <w:rPr>
                <w:rFonts w:ascii="宋体" w:hAnsi="宋体"/>
                <w:szCs w:val="21"/>
                <w:lang w:val="en-GB"/>
              </w:rPr>
              <w:t xml:space="preserve"> </w:t>
            </w:r>
            <w:r w:rsidRPr="007529B0">
              <w:rPr>
                <w:rFonts w:ascii="宋体" w:hAnsi="宋体" w:hint="eastAsia"/>
                <w:sz w:val="20"/>
                <w:szCs w:val="21"/>
              </w:rPr>
              <w:t>营养、防护等健康宣教</w:t>
            </w:r>
          </w:p>
        </w:tc>
      </w:tr>
      <w:tr w:rsidR="00691CFD" w:rsidRPr="007529B0" w14:paraId="38CCD11C" w14:textId="77777777" w:rsidTr="007529B0">
        <w:trPr>
          <w:cantSplit/>
          <w:trHeight w:val="340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44E1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病情</w:t>
            </w:r>
          </w:p>
          <w:p w14:paraId="4D355CBB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1333487B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0424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 w:hint="eastAsia"/>
                <w:szCs w:val="21"/>
              </w:rPr>
              <w:t>无</w:t>
            </w:r>
            <w:r w:rsidRPr="007529B0">
              <w:rPr>
                <w:rFonts w:ascii="宋体" w:hAnsi="宋体"/>
                <w:szCs w:val="21"/>
              </w:rPr>
              <w:t xml:space="preserve">  </w:t>
            </w:r>
            <w:r w:rsidRPr="007529B0">
              <w:rPr>
                <w:rFonts w:ascii="宋体" w:hAnsi="宋体" w:hint="eastAsia"/>
                <w:szCs w:val="21"/>
              </w:rPr>
              <w:t>□有，原因：</w:t>
            </w:r>
          </w:p>
          <w:p w14:paraId="3AAC0625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1.</w:t>
            </w:r>
          </w:p>
          <w:p w14:paraId="74749D8B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2.</w:t>
            </w:r>
          </w:p>
        </w:tc>
      </w:tr>
      <w:tr w:rsidR="00691CFD" w:rsidRPr="007529B0" w14:paraId="6E674D0B" w14:textId="77777777" w:rsidTr="007529B0">
        <w:trPr>
          <w:trHeight w:val="640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F0381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37B627A8" w14:textId="77777777" w:rsidR="00691CFD" w:rsidRPr="007529B0" w:rsidRDefault="00691CFD" w:rsidP="00827026">
            <w:pPr>
              <w:ind w:leftChars="-75" w:left="-158" w:firstLineChars="49" w:firstLine="103"/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C2FEC" w14:textId="77777777" w:rsidR="00691CFD" w:rsidRPr="007529B0" w:rsidRDefault="00691CFD" w:rsidP="005B0F2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91CFD" w:rsidRPr="007529B0" w14:paraId="7E8B82C6" w14:textId="77777777" w:rsidTr="007529B0">
        <w:trPr>
          <w:trHeight w:val="64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396CF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00BD47C3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6BF08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</w:tr>
    </w:tbl>
    <w:p w14:paraId="4924EED3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28EAE919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56FD32C1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4A910BAD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3979C576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0F992300" w14:textId="77777777" w:rsidR="00691CFD" w:rsidRPr="007529B0" w:rsidRDefault="00691CFD" w:rsidP="00827026">
      <w:pPr>
        <w:rPr>
          <w:rFonts w:ascii="宋体"/>
          <w:szCs w:val="21"/>
          <w:u w:val="single"/>
        </w:rPr>
      </w:pPr>
    </w:p>
    <w:p w14:paraId="3E2AA76E" w14:textId="77777777" w:rsidR="00691CFD" w:rsidRPr="007529B0" w:rsidRDefault="00691CFD" w:rsidP="00827026">
      <w:pPr>
        <w:rPr>
          <w:rFonts w:ascii="宋体" w:hint="eastAsia"/>
          <w:szCs w:val="21"/>
          <w:u w:val="single"/>
        </w:rPr>
      </w:pPr>
      <w:bookmarkStart w:id="0" w:name="_GoBack"/>
      <w:bookmarkEnd w:id="0"/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4318"/>
        <w:gridCol w:w="4179"/>
      </w:tblGrid>
      <w:tr w:rsidR="00691CFD" w:rsidRPr="007529B0" w14:paraId="0C21D5BF" w14:textId="77777777" w:rsidTr="005B0F23">
        <w:trPr>
          <w:cantSplit/>
          <w:trHeight w:val="302"/>
          <w:jc w:val="center"/>
        </w:trPr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5FD49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27BB0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住院第</w:t>
            </w:r>
            <w:r w:rsidRPr="007529B0">
              <w:rPr>
                <w:rFonts w:ascii="黑体" w:eastAsia="黑体" w:hAnsi="黑体"/>
                <w:szCs w:val="21"/>
              </w:rPr>
              <w:t>4</w:t>
            </w:r>
            <w:r w:rsidRPr="007529B0">
              <w:rPr>
                <w:rFonts w:ascii="黑体" w:eastAsia="黑体" w:hAnsi="黑体" w:hint="eastAsia"/>
                <w:szCs w:val="21"/>
              </w:rPr>
              <w:t>～</w:t>
            </w:r>
            <w:r w:rsidRPr="007529B0">
              <w:rPr>
                <w:rFonts w:ascii="黑体" w:eastAsia="黑体" w:hAnsi="黑体"/>
                <w:szCs w:val="21"/>
              </w:rPr>
              <w:t>7</w:t>
            </w:r>
            <w:r w:rsidRPr="007529B0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FE22F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住院第</w:t>
            </w:r>
            <w:r w:rsidRPr="007529B0">
              <w:rPr>
                <w:rFonts w:ascii="黑体" w:eastAsia="黑体" w:hAnsi="黑体"/>
                <w:szCs w:val="21"/>
              </w:rPr>
              <w:t>8</w:t>
            </w:r>
            <w:r w:rsidRPr="007529B0">
              <w:rPr>
                <w:rFonts w:ascii="黑体" w:eastAsia="黑体" w:hAnsi="黑体" w:hint="eastAsia"/>
                <w:szCs w:val="21"/>
              </w:rPr>
              <w:t>天</w:t>
            </w:r>
          </w:p>
          <w:p w14:paraId="33D4F759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691CFD" w:rsidRPr="007529B0" w14:paraId="15A517FD" w14:textId="77777777" w:rsidTr="005B0F23">
        <w:trPr>
          <w:cantSplit/>
          <w:trHeight w:val="625"/>
          <w:jc w:val="center"/>
        </w:trPr>
        <w:tc>
          <w:tcPr>
            <w:tcW w:w="7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1ADA6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</w:t>
            </w:r>
          </w:p>
          <w:p w14:paraId="063F61B2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要</w:t>
            </w:r>
          </w:p>
          <w:p w14:paraId="48939978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诊</w:t>
            </w:r>
          </w:p>
          <w:p w14:paraId="61736616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疗</w:t>
            </w:r>
          </w:p>
          <w:p w14:paraId="23203D80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</w:t>
            </w:r>
          </w:p>
          <w:p w14:paraId="26E4135F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3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DC0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上级医师查房，评估病情变化</w:t>
            </w:r>
          </w:p>
          <w:p w14:paraId="0C5010E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住院医师完成病程记录</w:t>
            </w:r>
          </w:p>
          <w:p w14:paraId="76A5D931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观察生命体征、腹部症状</w:t>
            </w:r>
            <w:r w:rsidRPr="007529B0">
              <w:rPr>
                <w:rFonts w:ascii="宋体" w:hAnsi="宋体"/>
                <w:szCs w:val="21"/>
              </w:rPr>
              <w:t>/</w:t>
            </w:r>
            <w:r w:rsidRPr="007529B0">
              <w:rPr>
                <w:rFonts w:ascii="宋体" w:hAnsi="宋体" w:hint="eastAsia"/>
                <w:szCs w:val="21"/>
              </w:rPr>
              <w:t>体征及粪便颜色等，确认出血已止，病情稳定</w:t>
            </w:r>
          </w:p>
          <w:p w14:paraId="538A1420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病情不稳定者必要时复查胃镜（家属谈话，签署同意书），证实仍有活动性出血者须转入其他路径</w:t>
            </w:r>
          </w:p>
          <w:p w14:paraId="7332FC0B" w14:textId="77777777" w:rsidR="00691CFD" w:rsidRPr="007529B0" w:rsidRDefault="00691CFD" w:rsidP="00F74912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再次进行营养筛选和评估</w:t>
            </w:r>
          </w:p>
          <w:p w14:paraId="05FC2BD5" w14:textId="77777777" w:rsidR="00691CFD" w:rsidRPr="007529B0" w:rsidRDefault="00691CFD" w:rsidP="00827026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根据一般状况和进食情况决定能否出院</w:t>
            </w:r>
          </w:p>
        </w:tc>
        <w:tc>
          <w:tcPr>
            <w:tcW w:w="41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A4B58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上级医师查房，确定有无并发症以及可否出院</w:t>
            </w:r>
          </w:p>
          <w:p w14:paraId="0F9934F4" w14:textId="77777777" w:rsidR="00691CFD" w:rsidRPr="007529B0" w:rsidRDefault="00691CFD" w:rsidP="00303E15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营养治疗药物</w:t>
            </w:r>
          </w:p>
          <w:p w14:paraId="0391412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pacing w:val="-6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pacing w:val="-6"/>
                <w:szCs w:val="21"/>
              </w:rPr>
              <w:t>完成出院记录、病案首页、出院证明书等</w:t>
            </w:r>
          </w:p>
          <w:p w14:paraId="767CED5F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向患者交代出院后的注意事项，如返院复诊的时间、地点，发生紧急情况时的处理等</w:t>
            </w:r>
          </w:p>
          <w:p w14:paraId="31AB59E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</w:tr>
      <w:tr w:rsidR="00691CFD" w:rsidRPr="007529B0" w14:paraId="698A7B48" w14:textId="77777777" w:rsidTr="005B0F23">
        <w:trPr>
          <w:cantSplit/>
          <w:trHeight w:val="62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5FE4D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重</w:t>
            </w:r>
          </w:p>
          <w:p w14:paraId="0A49D56C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点</w:t>
            </w:r>
          </w:p>
          <w:p w14:paraId="4D8D570B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医</w:t>
            </w:r>
          </w:p>
          <w:p w14:paraId="42510D6C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CCC90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60C09278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内科护理常规</w:t>
            </w:r>
          </w:p>
          <w:p w14:paraId="56BFDD7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二级护理</w:t>
            </w:r>
          </w:p>
          <w:p w14:paraId="19A0BA5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流食、半流食</w:t>
            </w:r>
          </w:p>
          <w:p w14:paraId="461A2CDE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静脉抑酸药</w:t>
            </w:r>
          </w:p>
          <w:p w14:paraId="75382B7E" w14:textId="77777777" w:rsidR="00691CFD" w:rsidRPr="007529B0" w:rsidRDefault="00691CFD" w:rsidP="005B0F23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营养治疗药物（视评估情况）</w:t>
            </w:r>
          </w:p>
          <w:p w14:paraId="06E981BB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4722874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抗幽门螺杆菌治疗（必要时）</w:t>
            </w:r>
          </w:p>
          <w:p w14:paraId="12AC65F1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血常规、尿常规、粪便常规</w:t>
            </w:r>
            <w:r w:rsidRPr="007529B0">
              <w:rPr>
                <w:rFonts w:ascii="宋体" w:hAnsi="宋体"/>
                <w:szCs w:val="21"/>
              </w:rPr>
              <w:t>+</w:t>
            </w:r>
            <w:r w:rsidRPr="007529B0">
              <w:rPr>
                <w:rFonts w:ascii="宋体" w:hAnsi="宋体" w:hint="eastAsia"/>
                <w:szCs w:val="21"/>
              </w:rPr>
              <w:t>隐血</w:t>
            </w:r>
          </w:p>
          <w:p w14:paraId="7ACF9C6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肝肾功能、电解质</w:t>
            </w:r>
          </w:p>
          <w:p w14:paraId="09AFEAB2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胃镜检查（必要时）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B6909" w14:textId="77777777" w:rsidR="00691CFD" w:rsidRPr="007529B0" w:rsidRDefault="00691CFD" w:rsidP="005B0F23">
            <w:pPr>
              <w:rPr>
                <w:rFonts w:ascii="宋体"/>
                <w:b/>
                <w:szCs w:val="21"/>
              </w:rPr>
            </w:pPr>
            <w:r w:rsidRPr="007529B0">
              <w:rPr>
                <w:rFonts w:ascii="宋体" w:hAnsi="宋体" w:hint="eastAsia"/>
                <w:b/>
                <w:szCs w:val="21"/>
              </w:rPr>
              <w:t>出院医嘱</w:t>
            </w:r>
          </w:p>
          <w:p w14:paraId="628944D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口服</w:t>
            </w:r>
            <w:r w:rsidRPr="007529B0">
              <w:rPr>
                <w:rFonts w:ascii="宋体" w:hAnsi="宋体"/>
                <w:szCs w:val="21"/>
              </w:rPr>
              <w:t>PPI/H</w:t>
            </w:r>
            <w:r w:rsidRPr="007529B0">
              <w:rPr>
                <w:rFonts w:ascii="宋体" w:hAnsi="宋体"/>
                <w:szCs w:val="21"/>
                <w:vertAlign w:val="subscript"/>
              </w:rPr>
              <w:t>2</w:t>
            </w:r>
            <w:r w:rsidRPr="007529B0">
              <w:rPr>
                <w:rFonts w:ascii="宋体" w:hAnsi="宋体"/>
                <w:szCs w:val="21"/>
              </w:rPr>
              <w:t>RA</w:t>
            </w:r>
            <w:r w:rsidRPr="007529B0">
              <w:rPr>
                <w:rFonts w:ascii="宋体" w:hAnsi="宋体" w:hint="eastAsia"/>
                <w:szCs w:val="21"/>
              </w:rPr>
              <w:t>（总疗程</w:t>
            </w:r>
            <w:r w:rsidRPr="007529B0">
              <w:rPr>
                <w:rFonts w:ascii="宋体" w:hAnsi="宋体"/>
                <w:szCs w:val="21"/>
              </w:rPr>
              <w:t>6</w:t>
            </w:r>
            <w:r w:rsidRPr="007529B0">
              <w:rPr>
                <w:rFonts w:ascii="宋体" w:hAnsi="宋体" w:hint="eastAsia"/>
                <w:szCs w:val="21"/>
              </w:rPr>
              <w:t>～</w:t>
            </w:r>
            <w:r w:rsidRPr="007529B0">
              <w:rPr>
                <w:rFonts w:ascii="宋体" w:hAnsi="宋体"/>
                <w:szCs w:val="21"/>
              </w:rPr>
              <w:t>8</w:t>
            </w:r>
            <w:r w:rsidRPr="007529B0">
              <w:rPr>
                <w:rFonts w:ascii="宋体" w:hAnsi="宋体" w:hint="eastAsia"/>
                <w:szCs w:val="21"/>
              </w:rPr>
              <w:t>周）</w:t>
            </w:r>
          </w:p>
          <w:p w14:paraId="47233D15" w14:textId="77777777" w:rsidR="00691CFD" w:rsidRPr="007529B0" w:rsidRDefault="00691CFD" w:rsidP="00827026">
            <w:pPr>
              <w:ind w:left="315" w:hangingChars="150" w:hanging="315"/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治疗幽门螺杆菌药物（必要时，疗程</w:t>
            </w:r>
            <w:r w:rsidRPr="007529B0">
              <w:rPr>
                <w:rFonts w:ascii="宋体" w:hAnsi="宋体"/>
                <w:szCs w:val="21"/>
              </w:rPr>
              <w:t>10</w:t>
            </w:r>
            <w:r w:rsidRPr="007529B0">
              <w:rPr>
                <w:rFonts w:ascii="宋体" w:hAnsi="宋体" w:hint="eastAsia"/>
                <w:szCs w:val="21"/>
              </w:rPr>
              <w:t>～</w:t>
            </w:r>
            <w:r w:rsidRPr="007529B0">
              <w:rPr>
                <w:rFonts w:ascii="宋体" w:hAnsi="宋体"/>
                <w:szCs w:val="21"/>
              </w:rPr>
              <w:t>14</w:t>
            </w:r>
            <w:r w:rsidRPr="007529B0">
              <w:rPr>
                <w:rFonts w:ascii="宋体" w:hAnsi="宋体" w:hint="eastAsia"/>
                <w:szCs w:val="21"/>
              </w:rPr>
              <w:t>天）</w:t>
            </w:r>
          </w:p>
          <w:p w14:paraId="2DEB18F6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黏膜保护剂</w:t>
            </w:r>
          </w:p>
          <w:p w14:paraId="2F29500A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定期门诊随访</w:t>
            </w:r>
          </w:p>
          <w:p w14:paraId="5EF04BB9" w14:textId="77777777" w:rsidR="00691CFD" w:rsidRPr="007529B0" w:rsidRDefault="00691CFD" w:rsidP="005B0F23">
            <w:pPr>
              <w:rPr>
                <w:rFonts w:ascii="宋体"/>
                <w:kern w:val="0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复查血</w:t>
            </w:r>
            <w:r w:rsidRPr="007529B0">
              <w:rPr>
                <w:rFonts w:ascii="宋体" w:hAnsi="宋体" w:hint="eastAsia"/>
                <w:kern w:val="0"/>
                <w:szCs w:val="21"/>
              </w:rPr>
              <w:t>常规、肝肾功能、电解质</w:t>
            </w:r>
          </w:p>
          <w:p w14:paraId="4395EBF9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调整生活方式</w:t>
            </w:r>
          </w:p>
        </w:tc>
      </w:tr>
      <w:tr w:rsidR="00691CFD" w:rsidRPr="007529B0" w14:paraId="23DAD29A" w14:textId="77777777" w:rsidTr="005B0F23">
        <w:trPr>
          <w:cantSplit/>
          <w:trHeight w:val="62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7278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主要</w:t>
            </w:r>
          </w:p>
          <w:p w14:paraId="593C1BFE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护理</w:t>
            </w:r>
          </w:p>
          <w:p w14:paraId="720AB42A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EB335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观察患者情况</w:t>
            </w:r>
          </w:p>
          <w:p w14:paraId="0C1DCD27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心理与生活护理</w:t>
            </w:r>
          </w:p>
          <w:p w14:paraId="6E53FCEC" w14:textId="77777777" w:rsidR="00691CFD" w:rsidRPr="007529B0" w:rsidRDefault="00691CFD" w:rsidP="005B0F23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对患者进行营养宣教</w:t>
            </w:r>
          </w:p>
          <w:p w14:paraId="271AECF0" w14:textId="77777777" w:rsidR="00691CFD" w:rsidRPr="007529B0" w:rsidRDefault="00691CFD" w:rsidP="00F74912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填写营养评估表</w:t>
            </w:r>
          </w:p>
          <w:p w14:paraId="4F0068C3" w14:textId="77777777" w:rsidR="00691CFD" w:rsidRPr="007529B0" w:rsidRDefault="00691CFD" w:rsidP="00F74912">
            <w:pPr>
              <w:numPr>
                <w:ilvl w:val="0"/>
                <w:numId w:val="8"/>
              </w:numPr>
              <w:rPr>
                <w:szCs w:val="21"/>
              </w:rPr>
            </w:pPr>
            <w:r w:rsidRPr="007529B0">
              <w:rPr>
                <w:rFonts w:hint="eastAsia"/>
                <w:szCs w:val="21"/>
              </w:rPr>
              <w:t>营养治疗护理（遵医嘱）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FD5CF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Cs w:val="21"/>
              </w:rPr>
              <w:t>指导患者办理出院手续</w:t>
            </w:r>
          </w:p>
          <w:p w14:paraId="237A3F4B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/>
                <w:szCs w:val="21"/>
              </w:rPr>
              <w:t xml:space="preserve"> </w:t>
            </w:r>
            <w:r w:rsidRPr="007529B0">
              <w:rPr>
                <w:rFonts w:ascii="宋体" w:hAnsi="宋体" w:hint="eastAsia"/>
                <w:sz w:val="20"/>
                <w:szCs w:val="21"/>
              </w:rPr>
              <w:t>营养、防护等健康宣教</w:t>
            </w:r>
          </w:p>
        </w:tc>
      </w:tr>
      <w:tr w:rsidR="00691CFD" w:rsidRPr="007529B0" w14:paraId="7132859F" w14:textId="77777777" w:rsidTr="005B0F23">
        <w:trPr>
          <w:cantSplit/>
          <w:trHeight w:val="3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E13D2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病情</w:t>
            </w:r>
          </w:p>
          <w:p w14:paraId="28DB29C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7ADE332B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DF933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int="eastAsia"/>
                <w:szCs w:val="21"/>
              </w:rPr>
              <w:t>□</w:t>
            </w:r>
            <w:r w:rsidRPr="007529B0">
              <w:rPr>
                <w:rFonts w:ascii="宋体" w:hAnsi="宋体" w:hint="eastAsia"/>
                <w:szCs w:val="21"/>
              </w:rPr>
              <w:t>无</w:t>
            </w:r>
            <w:r w:rsidRPr="007529B0">
              <w:rPr>
                <w:rFonts w:ascii="宋体" w:hAnsi="宋体"/>
                <w:szCs w:val="21"/>
              </w:rPr>
              <w:t xml:space="preserve">  </w:t>
            </w:r>
            <w:r w:rsidRPr="007529B0">
              <w:rPr>
                <w:rFonts w:ascii="宋体" w:hAnsi="宋体" w:hint="eastAsia"/>
                <w:szCs w:val="21"/>
              </w:rPr>
              <w:t>□有，原因：</w:t>
            </w:r>
          </w:p>
          <w:p w14:paraId="652DE7AD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1.</w:t>
            </w:r>
          </w:p>
          <w:p w14:paraId="2D1DC2FF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E80BC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  <w:r w:rsidRPr="007529B0">
              <w:rPr>
                <w:rFonts w:ascii="宋体" w:hAnsi="宋体" w:hint="eastAsia"/>
                <w:szCs w:val="21"/>
              </w:rPr>
              <w:t>□无</w:t>
            </w:r>
            <w:r w:rsidRPr="007529B0">
              <w:rPr>
                <w:rFonts w:ascii="宋体" w:hAnsi="宋体"/>
                <w:szCs w:val="21"/>
              </w:rPr>
              <w:t xml:space="preserve">  </w:t>
            </w:r>
            <w:r w:rsidRPr="007529B0">
              <w:rPr>
                <w:rFonts w:ascii="宋体" w:hAnsi="宋体" w:hint="eastAsia"/>
                <w:szCs w:val="21"/>
              </w:rPr>
              <w:t>□有，原因：</w:t>
            </w:r>
          </w:p>
          <w:p w14:paraId="322D8CCE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1.</w:t>
            </w:r>
          </w:p>
          <w:p w14:paraId="187F92E1" w14:textId="77777777" w:rsidR="00691CFD" w:rsidRPr="007529B0" w:rsidRDefault="00691CFD" w:rsidP="005B0F23">
            <w:pPr>
              <w:rPr>
                <w:rFonts w:ascii="宋体" w:hAnsi="宋体"/>
                <w:szCs w:val="21"/>
              </w:rPr>
            </w:pPr>
            <w:r w:rsidRPr="007529B0">
              <w:rPr>
                <w:rFonts w:ascii="宋体" w:hAnsi="宋体"/>
                <w:szCs w:val="21"/>
              </w:rPr>
              <w:t>2.</w:t>
            </w:r>
          </w:p>
        </w:tc>
      </w:tr>
      <w:tr w:rsidR="00691CFD" w:rsidRPr="007529B0" w14:paraId="4C5069B6" w14:textId="77777777" w:rsidTr="005B0F23">
        <w:trPr>
          <w:trHeight w:val="6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1455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5441C630" w14:textId="77777777" w:rsidR="00691CFD" w:rsidRPr="007529B0" w:rsidRDefault="00691CFD" w:rsidP="00827026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CF9F3" w14:textId="77777777" w:rsidR="00691CFD" w:rsidRPr="007529B0" w:rsidRDefault="00691CFD" w:rsidP="005B0F2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C94D" w14:textId="77777777" w:rsidR="00691CFD" w:rsidRPr="007529B0" w:rsidRDefault="00691CFD" w:rsidP="005B0F2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91CFD" w:rsidRPr="007529B0" w14:paraId="02F0E086" w14:textId="77777777" w:rsidTr="005B0F23">
        <w:trPr>
          <w:trHeight w:val="64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443AF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0CD55EE1" w14:textId="77777777" w:rsidR="00691CFD" w:rsidRPr="007529B0" w:rsidRDefault="00691CFD" w:rsidP="005B0F23">
            <w:pPr>
              <w:jc w:val="center"/>
              <w:rPr>
                <w:rFonts w:ascii="黑体" w:eastAsia="黑体" w:hAnsi="黑体"/>
                <w:szCs w:val="21"/>
              </w:rPr>
            </w:pPr>
            <w:r w:rsidRPr="007529B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58A18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FA8F1" w14:textId="77777777" w:rsidR="00691CFD" w:rsidRPr="007529B0" w:rsidRDefault="00691CFD" w:rsidP="005B0F23">
            <w:pPr>
              <w:rPr>
                <w:rFonts w:ascii="宋体"/>
                <w:szCs w:val="21"/>
              </w:rPr>
            </w:pPr>
          </w:p>
        </w:tc>
      </w:tr>
    </w:tbl>
    <w:p w14:paraId="6DE22648" w14:textId="77777777" w:rsidR="00691CFD" w:rsidRPr="007529B0" w:rsidRDefault="00691CFD" w:rsidP="00827026">
      <w:pPr>
        <w:pStyle w:val="1"/>
        <w:tabs>
          <w:tab w:val="left" w:pos="7740"/>
        </w:tabs>
        <w:rPr>
          <w:rFonts w:ascii="宋体" w:eastAsia="宋体" w:hAnsi="宋体"/>
          <w:sz w:val="21"/>
          <w:szCs w:val="21"/>
        </w:rPr>
      </w:pPr>
    </w:p>
    <w:p w14:paraId="17E37B71" w14:textId="77777777" w:rsidR="00691CFD" w:rsidRPr="007529B0" w:rsidRDefault="00691CFD" w:rsidP="00827026">
      <w:pPr>
        <w:rPr>
          <w:rFonts w:ascii="宋体"/>
          <w:szCs w:val="21"/>
        </w:rPr>
      </w:pPr>
    </w:p>
    <w:p w14:paraId="0D035C05" w14:textId="77777777" w:rsidR="00691CFD" w:rsidRPr="007529B0" w:rsidRDefault="00691CFD" w:rsidP="00827026">
      <w:pPr>
        <w:rPr>
          <w:rFonts w:ascii="宋体"/>
          <w:szCs w:val="21"/>
        </w:rPr>
      </w:pPr>
    </w:p>
    <w:p w14:paraId="54EDE79C" w14:textId="77777777" w:rsidR="00691CFD" w:rsidRPr="007529B0" w:rsidRDefault="00691CFD" w:rsidP="00827026">
      <w:pPr>
        <w:adjustRightInd w:val="0"/>
        <w:snapToGrid w:val="0"/>
        <w:spacing w:line="360" w:lineRule="auto"/>
        <w:ind w:firstLineChars="200" w:firstLine="480"/>
        <w:contextualSpacing/>
        <w:rPr>
          <w:rFonts w:eastAsia="黑体"/>
          <w:sz w:val="24"/>
          <w:szCs w:val="24"/>
        </w:rPr>
      </w:pPr>
    </w:p>
    <w:sectPr w:rsidR="00691CFD" w:rsidRPr="007529B0" w:rsidSect="00C2152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6E54" w14:textId="77777777" w:rsidR="00355135" w:rsidRDefault="00355135">
      <w:r>
        <w:separator/>
      </w:r>
    </w:p>
  </w:endnote>
  <w:endnote w:type="continuationSeparator" w:id="0">
    <w:p w14:paraId="1C6880DA" w14:textId="77777777" w:rsidR="00355135" w:rsidRDefault="0035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FF87" w14:textId="77777777" w:rsidR="00355135" w:rsidRDefault="00355135">
      <w:r>
        <w:separator/>
      </w:r>
    </w:p>
  </w:footnote>
  <w:footnote w:type="continuationSeparator" w:id="0">
    <w:p w14:paraId="4A00F7F7" w14:textId="77777777" w:rsidR="00355135" w:rsidRDefault="0035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35A" w14:textId="77777777" w:rsidR="00691CFD" w:rsidRDefault="00691CFD" w:rsidP="00FE201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BD"/>
    <w:multiLevelType w:val="multilevel"/>
    <w:tmpl w:val="000001B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D67EE"/>
    <w:multiLevelType w:val="hybridMultilevel"/>
    <w:tmpl w:val="A6302660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141B"/>
    <w:multiLevelType w:val="hybridMultilevel"/>
    <w:tmpl w:val="214A571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F4102"/>
    <w:multiLevelType w:val="hybridMultilevel"/>
    <w:tmpl w:val="3F2C0DF4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EB22D0"/>
    <w:multiLevelType w:val="hybridMultilevel"/>
    <w:tmpl w:val="73482E16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505BA"/>
    <w:multiLevelType w:val="hybridMultilevel"/>
    <w:tmpl w:val="D5A4867E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1B2DEA"/>
    <w:multiLevelType w:val="hybridMultilevel"/>
    <w:tmpl w:val="4D20425E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01C"/>
    <w:rsid w:val="00003683"/>
    <w:rsid w:val="00015B71"/>
    <w:rsid w:val="00016353"/>
    <w:rsid w:val="000169D0"/>
    <w:rsid w:val="0003385A"/>
    <w:rsid w:val="00033C0C"/>
    <w:rsid w:val="0003694C"/>
    <w:rsid w:val="00056CA5"/>
    <w:rsid w:val="000734FC"/>
    <w:rsid w:val="00077701"/>
    <w:rsid w:val="000926B5"/>
    <w:rsid w:val="00093428"/>
    <w:rsid w:val="000A22B1"/>
    <w:rsid w:val="000A5BAE"/>
    <w:rsid w:val="000A65D7"/>
    <w:rsid w:val="000B33EF"/>
    <w:rsid w:val="000D0FD5"/>
    <w:rsid w:val="000D199E"/>
    <w:rsid w:val="000D295C"/>
    <w:rsid w:val="000E207B"/>
    <w:rsid w:val="000F6837"/>
    <w:rsid w:val="001043C1"/>
    <w:rsid w:val="00120F6F"/>
    <w:rsid w:val="001271BE"/>
    <w:rsid w:val="0013276C"/>
    <w:rsid w:val="00137D53"/>
    <w:rsid w:val="00140AE5"/>
    <w:rsid w:val="0014136E"/>
    <w:rsid w:val="00154417"/>
    <w:rsid w:val="00155303"/>
    <w:rsid w:val="0017757E"/>
    <w:rsid w:val="00185EC6"/>
    <w:rsid w:val="001A3F0F"/>
    <w:rsid w:val="001B5DC4"/>
    <w:rsid w:val="001C09B4"/>
    <w:rsid w:val="001D03B4"/>
    <w:rsid w:val="001D241E"/>
    <w:rsid w:val="001D3415"/>
    <w:rsid w:val="001D5A10"/>
    <w:rsid w:val="001E1E11"/>
    <w:rsid w:val="001E5FD0"/>
    <w:rsid w:val="001F18FC"/>
    <w:rsid w:val="001F7759"/>
    <w:rsid w:val="002031DB"/>
    <w:rsid w:val="00206E82"/>
    <w:rsid w:val="002143DA"/>
    <w:rsid w:val="00216442"/>
    <w:rsid w:val="00222952"/>
    <w:rsid w:val="00237283"/>
    <w:rsid w:val="00272DCC"/>
    <w:rsid w:val="00277201"/>
    <w:rsid w:val="00277209"/>
    <w:rsid w:val="002A2375"/>
    <w:rsid w:val="002B639A"/>
    <w:rsid w:val="002C087C"/>
    <w:rsid w:val="002C0D94"/>
    <w:rsid w:val="002E51BB"/>
    <w:rsid w:val="002F2E98"/>
    <w:rsid w:val="00303E15"/>
    <w:rsid w:val="003061E0"/>
    <w:rsid w:val="00306811"/>
    <w:rsid w:val="003410FA"/>
    <w:rsid w:val="00341A89"/>
    <w:rsid w:val="003451C9"/>
    <w:rsid w:val="00350291"/>
    <w:rsid w:val="00355135"/>
    <w:rsid w:val="00363855"/>
    <w:rsid w:val="00363C84"/>
    <w:rsid w:val="00365256"/>
    <w:rsid w:val="00365C91"/>
    <w:rsid w:val="00370C19"/>
    <w:rsid w:val="00380220"/>
    <w:rsid w:val="0038186B"/>
    <w:rsid w:val="00382D92"/>
    <w:rsid w:val="00382F8F"/>
    <w:rsid w:val="003867E5"/>
    <w:rsid w:val="00386EE9"/>
    <w:rsid w:val="00396038"/>
    <w:rsid w:val="00397EFE"/>
    <w:rsid w:val="003A0659"/>
    <w:rsid w:val="003A1B15"/>
    <w:rsid w:val="003A5341"/>
    <w:rsid w:val="003B4CEB"/>
    <w:rsid w:val="003E2199"/>
    <w:rsid w:val="003E7D84"/>
    <w:rsid w:val="00411F7E"/>
    <w:rsid w:val="0041302B"/>
    <w:rsid w:val="0041602A"/>
    <w:rsid w:val="004257BC"/>
    <w:rsid w:val="00455694"/>
    <w:rsid w:val="00457929"/>
    <w:rsid w:val="00466210"/>
    <w:rsid w:val="0047397A"/>
    <w:rsid w:val="004969E5"/>
    <w:rsid w:val="00496B39"/>
    <w:rsid w:val="004A04BD"/>
    <w:rsid w:val="004B520F"/>
    <w:rsid w:val="004B6FB6"/>
    <w:rsid w:val="004C036E"/>
    <w:rsid w:val="004C175D"/>
    <w:rsid w:val="004C5E01"/>
    <w:rsid w:val="004C67D0"/>
    <w:rsid w:val="004C74F9"/>
    <w:rsid w:val="004E03E0"/>
    <w:rsid w:val="004E6302"/>
    <w:rsid w:val="004F0FC1"/>
    <w:rsid w:val="00501C39"/>
    <w:rsid w:val="005072BF"/>
    <w:rsid w:val="00507765"/>
    <w:rsid w:val="005079E1"/>
    <w:rsid w:val="005364B0"/>
    <w:rsid w:val="00550E9C"/>
    <w:rsid w:val="0056408B"/>
    <w:rsid w:val="00566BD9"/>
    <w:rsid w:val="005739F5"/>
    <w:rsid w:val="00573C24"/>
    <w:rsid w:val="00586B5D"/>
    <w:rsid w:val="00590D4D"/>
    <w:rsid w:val="00592EA2"/>
    <w:rsid w:val="005B0F23"/>
    <w:rsid w:val="005B2F24"/>
    <w:rsid w:val="005C556F"/>
    <w:rsid w:val="005D410F"/>
    <w:rsid w:val="005F010B"/>
    <w:rsid w:val="006060D7"/>
    <w:rsid w:val="00610D4A"/>
    <w:rsid w:val="00633D16"/>
    <w:rsid w:val="0063581C"/>
    <w:rsid w:val="00642C99"/>
    <w:rsid w:val="00653B77"/>
    <w:rsid w:val="00660BAF"/>
    <w:rsid w:val="00674B51"/>
    <w:rsid w:val="00691CFD"/>
    <w:rsid w:val="00695FD7"/>
    <w:rsid w:val="006975D6"/>
    <w:rsid w:val="006D1403"/>
    <w:rsid w:val="006D33A2"/>
    <w:rsid w:val="006D74B7"/>
    <w:rsid w:val="006E0001"/>
    <w:rsid w:val="006E0962"/>
    <w:rsid w:val="006E3B01"/>
    <w:rsid w:val="006E5EF7"/>
    <w:rsid w:val="006F306E"/>
    <w:rsid w:val="006F5BCD"/>
    <w:rsid w:val="007052F2"/>
    <w:rsid w:val="00717145"/>
    <w:rsid w:val="00723279"/>
    <w:rsid w:val="007529B0"/>
    <w:rsid w:val="0077105E"/>
    <w:rsid w:val="007859BB"/>
    <w:rsid w:val="00792A6A"/>
    <w:rsid w:val="00794182"/>
    <w:rsid w:val="007A2533"/>
    <w:rsid w:val="007A4CBC"/>
    <w:rsid w:val="007A5FA1"/>
    <w:rsid w:val="007C324C"/>
    <w:rsid w:val="007C41CB"/>
    <w:rsid w:val="007D03A2"/>
    <w:rsid w:val="00802D0B"/>
    <w:rsid w:val="00825419"/>
    <w:rsid w:val="00827026"/>
    <w:rsid w:val="00831CEA"/>
    <w:rsid w:val="00833740"/>
    <w:rsid w:val="00833E0F"/>
    <w:rsid w:val="00835961"/>
    <w:rsid w:val="00847349"/>
    <w:rsid w:val="00847F3D"/>
    <w:rsid w:val="00856B70"/>
    <w:rsid w:val="008807B8"/>
    <w:rsid w:val="008C260D"/>
    <w:rsid w:val="008C52D8"/>
    <w:rsid w:val="008D4BB7"/>
    <w:rsid w:val="00915357"/>
    <w:rsid w:val="00921B87"/>
    <w:rsid w:val="009230DF"/>
    <w:rsid w:val="009265E1"/>
    <w:rsid w:val="00940701"/>
    <w:rsid w:val="00944064"/>
    <w:rsid w:val="00954094"/>
    <w:rsid w:val="00961EEC"/>
    <w:rsid w:val="00965E2A"/>
    <w:rsid w:val="00970FCE"/>
    <w:rsid w:val="00972430"/>
    <w:rsid w:val="0098298B"/>
    <w:rsid w:val="009910E2"/>
    <w:rsid w:val="00991A87"/>
    <w:rsid w:val="009A2317"/>
    <w:rsid w:val="009A4D0C"/>
    <w:rsid w:val="009B21B4"/>
    <w:rsid w:val="009C25A6"/>
    <w:rsid w:val="009C6120"/>
    <w:rsid w:val="009C6176"/>
    <w:rsid w:val="009D73DF"/>
    <w:rsid w:val="009E3A17"/>
    <w:rsid w:val="009F1E4C"/>
    <w:rsid w:val="009F49BF"/>
    <w:rsid w:val="009F5FB3"/>
    <w:rsid w:val="00A0174D"/>
    <w:rsid w:val="00A03FFC"/>
    <w:rsid w:val="00A061FF"/>
    <w:rsid w:val="00A158EC"/>
    <w:rsid w:val="00A168EA"/>
    <w:rsid w:val="00A16ACF"/>
    <w:rsid w:val="00A212CF"/>
    <w:rsid w:val="00A26064"/>
    <w:rsid w:val="00A40BFB"/>
    <w:rsid w:val="00A50865"/>
    <w:rsid w:val="00A57162"/>
    <w:rsid w:val="00A65BD6"/>
    <w:rsid w:val="00A67A50"/>
    <w:rsid w:val="00A9152F"/>
    <w:rsid w:val="00AC187B"/>
    <w:rsid w:val="00AD2FDB"/>
    <w:rsid w:val="00AD4099"/>
    <w:rsid w:val="00AE6E3D"/>
    <w:rsid w:val="00B00632"/>
    <w:rsid w:val="00B161E3"/>
    <w:rsid w:val="00B31821"/>
    <w:rsid w:val="00B4047F"/>
    <w:rsid w:val="00B459A9"/>
    <w:rsid w:val="00B60CDB"/>
    <w:rsid w:val="00B776AB"/>
    <w:rsid w:val="00B94394"/>
    <w:rsid w:val="00B96C57"/>
    <w:rsid w:val="00B97BC3"/>
    <w:rsid w:val="00BA736D"/>
    <w:rsid w:val="00BA7AF3"/>
    <w:rsid w:val="00BB51A8"/>
    <w:rsid w:val="00C02570"/>
    <w:rsid w:val="00C0665D"/>
    <w:rsid w:val="00C10FFD"/>
    <w:rsid w:val="00C21526"/>
    <w:rsid w:val="00C24840"/>
    <w:rsid w:val="00C2566F"/>
    <w:rsid w:val="00C260E2"/>
    <w:rsid w:val="00C33D81"/>
    <w:rsid w:val="00C51701"/>
    <w:rsid w:val="00C51980"/>
    <w:rsid w:val="00C5771E"/>
    <w:rsid w:val="00C618C1"/>
    <w:rsid w:val="00C62E1E"/>
    <w:rsid w:val="00C6328F"/>
    <w:rsid w:val="00C74500"/>
    <w:rsid w:val="00C74EC0"/>
    <w:rsid w:val="00C77BE9"/>
    <w:rsid w:val="00CA1ABC"/>
    <w:rsid w:val="00CC5E84"/>
    <w:rsid w:val="00CC60F7"/>
    <w:rsid w:val="00CE0611"/>
    <w:rsid w:val="00D13146"/>
    <w:rsid w:val="00D16F23"/>
    <w:rsid w:val="00D1740E"/>
    <w:rsid w:val="00D24D1D"/>
    <w:rsid w:val="00D34A97"/>
    <w:rsid w:val="00D72E2B"/>
    <w:rsid w:val="00D76B81"/>
    <w:rsid w:val="00D801E1"/>
    <w:rsid w:val="00D87C2F"/>
    <w:rsid w:val="00D919A5"/>
    <w:rsid w:val="00DB2B9B"/>
    <w:rsid w:val="00DB7A31"/>
    <w:rsid w:val="00DC50BA"/>
    <w:rsid w:val="00DD5A8E"/>
    <w:rsid w:val="00DD70B9"/>
    <w:rsid w:val="00DE37E6"/>
    <w:rsid w:val="00E0661D"/>
    <w:rsid w:val="00E23931"/>
    <w:rsid w:val="00E23CAB"/>
    <w:rsid w:val="00E352CD"/>
    <w:rsid w:val="00E55F2B"/>
    <w:rsid w:val="00E65F92"/>
    <w:rsid w:val="00E71A15"/>
    <w:rsid w:val="00E763DC"/>
    <w:rsid w:val="00E84F30"/>
    <w:rsid w:val="00E87EAB"/>
    <w:rsid w:val="00E93128"/>
    <w:rsid w:val="00EA7E34"/>
    <w:rsid w:val="00ED4BE4"/>
    <w:rsid w:val="00ED5864"/>
    <w:rsid w:val="00EE2E22"/>
    <w:rsid w:val="00EF0116"/>
    <w:rsid w:val="00F05FAB"/>
    <w:rsid w:val="00F213CF"/>
    <w:rsid w:val="00F34998"/>
    <w:rsid w:val="00F431BB"/>
    <w:rsid w:val="00F5583A"/>
    <w:rsid w:val="00F56B3C"/>
    <w:rsid w:val="00F64725"/>
    <w:rsid w:val="00F74912"/>
    <w:rsid w:val="00F83075"/>
    <w:rsid w:val="00F84455"/>
    <w:rsid w:val="00F921D8"/>
    <w:rsid w:val="00FC0D5F"/>
    <w:rsid w:val="00FC6BD5"/>
    <w:rsid w:val="00FE201C"/>
    <w:rsid w:val="00FF654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BB501E4"/>
  <w15:docId w15:val="{9EC215E0-DE7D-4DC7-8E2A-D630692C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A1ABC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CA1ABC"/>
    <w:rPr>
      <w:rFonts w:ascii="Calibri" w:hAnsi="Calibri"/>
      <w:b/>
      <w:kern w:val="2"/>
      <w:sz w:val="32"/>
    </w:rPr>
  </w:style>
  <w:style w:type="paragraph" w:styleId="a3">
    <w:name w:val="header"/>
    <w:basedOn w:val="a"/>
    <w:link w:val="a4"/>
    <w:uiPriority w:val="99"/>
    <w:rsid w:val="00FE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ascii="Calibri" w:hAnsi="Calibri"/>
      <w:sz w:val="18"/>
    </w:rPr>
  </w:style>
  <w:style w:type="paragraph" w:styleId="a5">
    <w:name w:val="footer"/>
    <w:basedOn w:val="a"/>
    <w:link w:val="a6"/>
    <w:uiPriority w:val="99"/>
    <w:rsid w:val="00FE20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ascii="Calibri" w:hAnsi="Calibri"/>
      <w:sz w:val="18"/>
    </w:rPr>
  </w:style>
  <w:style w:type="paragraph" w:customStyle="1" w:styleId="1">
    <w:name w:val="样式1"/>
    <w:basedOn w:val="a"/>
    <w:uiPriority w:val="99"/>
    <w:rsid w:val="00FE201C"/>
    <w:rPr>
      <w:rFonts w:ascii="仿宋_GB2312" w:eastAsia="仿宋_GB2312" w:hAnsi="Times New Roman"/>
      <w:sz w:val="28"/>
      <w:szCs w:val="20"/>
    </w:rPr>
  </w:style>
  <w:style w:type="paragraph" w:customStyle="1" w:styleId="3-lx">
    <w:name w:val="标题3-lx"/>
    <w:basedOn w:val="3"/>
    <w:link w:val="3-lxChar"/>
    <w:uiPriority w:val="99"/>
    <w:rsid w:val="00CA1ABC"/>
    <w:pPr>
      <w:adjustRightInd w:val="0"/>
      <w:snapToGrid w:val="0"/>
      <w:spacing w:before="120" w:after="120" w:line="240" w:lineRule="auto"/>
      <w:ind w:firstLineChars="200" w:firstLine="200"/>
    </w:pPr>
    <w:rPr>
      <w:rFonts w:ascii="楷体_GB2312" w:eastAsia="楷体"/>
      <w:bCs/>
    </w:rPr>
  </w:style>
  <w:style w:type="character" w:customStyle="1" w:styleId="3-lxChar">
    <w:name w:val="标题3-lx Char"/>
    <w:link w:val="3-lx"/>
    <w:uiPriority w:val="99"/>
    <w:locked/>
    <w:rsid w:val="00CA1ABC"/>
    <w:rPr>
      <w:rFonts w:ascii="楷体_GB2312" w:eastAsia="楷体" w:hAnsi="Calibri"/>
      <w:b/>
      <w:kern w:val="2"/>
      <w:sz w:val="32"/>
    </w:rPr>
  </w:style>
  <w:style w:type="paragraph" w:styleId="a7">
    <w:name w:val="Balloon Text"/>
    <w:basedOn w:val="a"/>
    <w:link w:val="a8"/>
    <w:uiPriority w:val="99"/>
    <w:rsid w:val="000D199E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0D199E"/>
    <w:rPr>
      <w:rFonts w:ascii="Calibri" w:hAnsi="Calibri"/>
      <w:kern w:val="2"/>
      <w:sz w:val="18"/>
    </w:rPr>
  </w:style>
  <w:style w:type="character" w:styleId="a9">
    <w:name w:val="annotation reference"/>
    <w:uiPriority w:val="99"/>
    <w:rsid w:val="00586B5D"/>
    <w:rPr>
      <w:rFonts w:cs="Times New Roman"/>
      <w:sz w:val="21"/>
    </w:rPr>
  </w:style>
  <w:style w:type="paragraph" w:styleId="aa">
    <w:name w:val="annotation text"/>
    <w:basedOn w:val="a"/>
    <w:link w:val="ab"/>
    <w:uiPriority w:val="99"/>
    <w:rsid w:val="00586B5D"/>
    <w:pPr>
      <w:jc w:val="left"/>
    </w:pPr>
    <w:rPr>
      <w:sz w:val="22"/>
    </w:rPr>
  </w:style>
  <w:style w:type="character" w:customStyle="1" w:styleId="ab">
    <w:name w:val="批注文字 字符"/>
    <w:link w:val="aa"/>
    <w:uiPriority w:val="99"/>
    <w:locked/>
    <w:rsid w:val="00586B5D"/>
    <w:rPr>
      <w:rFonts w:ascii="Calibri" w:hAnsi="Calibri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rsid w:val="00586B5D"/>
    <w:rPr>
      <w:b/>
      <w:bCs/>
    </w:rPr>
  </w:style>
  <w:style w:type="character" w:customStyle="1" w:styleId="ad">
    <w:name w:val="批注主题 字符"/>
    <w:link w:val="ac"/>
    <w:uiPriority w:val="99"/>
    <w:locked/>
    <w:rsid w:val="00586B5D"/>
    <w:rPr>
      <w:rFonts w:ascii="Calibri" w:hAnsi="Calibri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606</Words>
  <Characters>3457</Characters>
  <Application>Microsoft Office Word</Application>
  <DocSecurity>0</DocSecurity>
  <Lines>28</Lines>
  <Paragraphs>8</Paragraphs>
  <ScaleCrop>false</ScaleCrop>
  <Company>MC SYSTEM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12</cp:revision>
  <cp:lastPrinted>2019-03-25T11:27:00Z</cp:lastPrinted>
  <dcterms:created xsi:type="dcterms:W3CDTF">2019-04-13T15:32:00Z</dcterms:created>
  <dcterms:modified xsi:type="dcterms:W3CDTF">2019-12-25T07:43:00Z</dcterms:modified>
</cp:coreProperties>
</file>