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C3" w:rsidRPr="00BC61BC" w:rsidRDefault="00C130C3" w:rsidP="00C130C3">
      <w:pPr>
        <w:spacing w:line="360" w:lineRule="auto"/>
        <w:jc w:val="center"/>
        <w:rPr>
          <w:rFonts w:ascii="宋体" w:hAnsi="宋体" w:cs="黑体" w:hint="eastAsia"/>
          <w:b/>
          <w:sz w:val="44"/>
          <w:szCs w:val="44"/>
        </w:rPr>
      </w:pPr>
      <w:r>
        <w:rPr>
          <w:rFonts w:ascii="宋体" w:hAnsi="宋体" w:cs="黑体" w:hint="eastAsia"/>
          <w:b/>
          <w:sz w:val="44"/>
          <w:szCs w:val="44"/>
        </w:rPr>
        <w:t>睾丸鞘膜积液临床路径</w:t>
      </w:r>
    </w:p>
    <w:p w:rsidR="00C130C3" w:rsidRDefault="00C130C3" w:rsidP="00C130C3">
      <w:pPr>
        <w:snapToGrid w:val="0"/>
        <w:spacing w:line="360" w:lineRule="auto"/>
        <w:jc w:val="center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县级医院2012年</w:t>
      </w:r>
      <w:r w:rsidRPr="00BC61BC">
        <w:rPr>
          <w:rFonts w:ascii="仿宋_GB2312" w:eastAsia="仿宋_GB2312" w:hAnsi="宋体" w:hint="eastAsia"/>
          <w:sz w:val="32"/>
          <w:szCs w:val="32"/>
        </w:rPr>
        <w:t>版）</w:t>
      </w:r>
    </w:p>
    <w:p w:rsidR="00C130C3" w:rsidRPr="008864DF" w:rsidRDefault="00C130C3" w:rsidP="00C130C3">
      <w:pPr>
        <w:snapToGrid w:val="0"/>
        <w:spacing w:line="360" w:lineRule="auto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一、</w:t>
      </w:r>
      <w:r w:rsidRPr="00BC61BC">
        <w:rPr>
          <w:rFonts w:ascii="黑体" w:eastAsia="黑体" w:hAnsi="宋体" w:cs="黑体" w:hint="eastAsia"/>
          <w:sz w:val="32"/>
          <w:szCs w:val="32"/>
        </w:rPr>
        <w:t>睾丸鞘膜积液临床路径标准住院流程</w:t>
      </w:r>
    </w:p>
    <w:p w:rsidR="00C130C3" w:rsidRPr="00680D9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黑体" w:hint="eastAsia"/>
          <w:b/>
          <w:bCs/>
          <w:sz w:val="32"/>
          <w:szCs w:val="32"/>
        </w:rPr>
      </w:pPr>
      <w:r w:rsidRPr="00680D9C">
        <w:rPr>
          <w:rFonts w:ascii="楷体_GB2312" w:eastAsia="楷体_GB2312" w:hint="eastAsia"/>
          <w:b/>
          <w:bCs/>
          <w:sz w:val="32"/>
          <w:szCs w:val="32"/>
        </w:rPr>
        <w:t>（一）适用对象。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第一诊断为睾丸鞘膜积液（</w:t>
      </w:r>
      <w:r w:rsidRPr="00BC61BC">
        <w:rPr>
          <w:rFonts w:ascii="仿宋_GB2312" w:eastAsia="仿宋_GB2312" w:hAnsi="宋体"/>
          <w:sz w:val="32"/>
          <w:szCs w:val="32"/>
        </w:rPr>
        <w:t>ICD</w:t>
      </w:r>
      <w:r w:rsidRPr="00BC61BC">
        <w:rPr>
          <w:rFonts w:ascii="仿宋_GB2312" w:eastAsia="仿宋_GB2312" w:hAnsi="宋体" w:hint="eastAsia"/>
          <w:sz w:val="32"/>
          <w:szCs w:val="32"/>
        </w:rPr>
        <w:t>-</w:t>
      </w:r>
      <w:r w:rsidRPr="00BC61BC">
        <w:rPr>
          <w:rFonts w:ascii="仿宋_GB2312" w:eastAsia="仿宋_GB2312" w:hAnsi="宋体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:N43.301</w:t>
      </w:r>
      <w:r w:rsidRPr="00BC61BC">
        <w:rPr>
          <w:rFonts w:ascii="仿宋_GB2312" w:eastAsia="仿宋_GB2312" w:hAnsi="宋体" w:hint="eastAsia"/>
          <w:sz w:val="32"/>
          <w:szCs w:val="32"/>
        </w:rPr>
        <w:t>）。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行睾丸鞘膜翻转术（ICD-9-CM-3:61.4901）或睾丸鞘膜切除术（ICD-9-CM-3:61.2）。</w:t>
      </w:r>
    </w:p>
    <w:p w:rsidR="00C130C3" w:rsidRPr="00680D9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bCs/>
          <w:sz w:val="32"/>
          <w:szCs w:val="32"/>
        </w:rPr>
      </w:pPr>
      <w:r w:rsidRPr="00680D9C">
        <w:rPr>
          <w:rFonts w:ascii="楷体_GB2312" w:eastAsia="楷体_GB2312" w:hint="eastAsia"/>
          <w:b/>
          <w:bCs/>
          <w:sz w:val="32"/>
          <w:szCs w:val="32"/>
        </w:rPr>
        <w:t>（二）诊断依据。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根据《临床诊疗指南-泌尿外科分册》（中华医学会编著，人民卫生出版社）。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1.病史。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2.超声检查。</w:t>
      </w:r>
    </w:p>
    <w:p w:rsidR="00C130C3" w:rsidRPr="00680D9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bCs/>
          <w:sz w:val="32"/>
          <w:szCs w:val="32"/>
        </w:rPr>
      </w:pPr>
      <w:r w:rsidRPr="00680D9C">
        <w:rPr>
          <w:rFonts w:ascii="楷体_GB2312" w:eastAsia="楷体_GB2312" w:hint="eastAsia"/>
          <w:b/>
          <w:bCs/>
          <w:sz w:val="32"/>
          <w:szCs w:val="32"/>
        </w:rPr>
        <w:t>（三）选择治疗方案的依据。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根据《临床技术操作规范-泌尿外科分册》（中华医学会编著，人民军医出版社）。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1.符合手术适应症。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lastRenderedPageBreak/>
        <w:t>2.能够耐受手术。</w:t>
      </w:r>
    </w:p>
    <w:p w:rsidR="00C130C3" w:rsidRPr="00680D9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bCs/>
          <w:sz w:val="32"/>
          <w:szCs w:val="32"/>
        </w:rPr>
      </w:pPr>
      <w:r w:rsidRPr="00680D9C">
        <w:rPr>
          <w:rFonts w:ascii="楷体_GB2312" w:eastAsia="楷体_GB2312" w:hint="eastAsia"/>
          <w:b/>
          <w:bCs/>
          <w:sz w:val="32"/>
          <w:szCs w:val="32"/>
        </w:rPr>
        <w:t>（四）标准住院日为5</w:t>
      </w:r>
      <w:r>
        <w:rPr>
          <w:rFonts w:ascii="楷体_GB2312" w:eastAsia="楷体_GB2312" w:hint="eastAsia"/>
          <w:b/>
          <w:bCs/>
          <w:sz w:val="32"/>
          <w:szCs w:val="32"/>
        </w:rPr>
        <w:t>-8</w:t>
      </w:r>
      <w:r w:rsidRPr="00680D9C">
        <w:rPr>
          <w:rFonts w:ascii="楷体_GB2312" w:eastAsia="楷体_GB2312" w:hint="eastAsia"/>
          <w:b/>
          <w:bCs/>
          <w:sz w:val="32"/>
          <w:szCs w:val="32"/>
        </w:rPr>
        <w:t>天。</w:t>
      </w:r>
    </w:p>
    <w:p w:rsidR="00C130C3" w:rsidRPr="00680D9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bCs/>
          <w:sz w:val="32"/>
          <w:szCs w:val="32"/>
        </w:rPr>
      </w:pPr>
      <w:r w:rsidRPr="00680D9C">
        <w:rPr>
          <w:rFonts w:ascii="楷体_GB2312" w:eastAsia="楷体_GB2312" w:hint="eastAsia"/>
          <w:b/>
          <w:bCs/>
          <w:sz w:val="32"/>
          <w:szCs w:val="32"/>
        </w:rPr>
        <w:t>（五）进入路径标准。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1.第一诊断必须符合ICD-10:N43.301睾丸鞘膜积液疾病编码。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 xml:space="preserve">    2.</w:t>
      </w:r>
      <w:r w:rsidRPr="00BA5494">
        <w:rPr>
          <w:rFonts w:ascii="仿宋_GB2312" w:eastAsia="仿宋_GB2312" w:hint="eastAsia"/>
          <w:sz w:val="32"/>
          <w:szCs w:val="32"/>
        </w:rPr>
        <w:t>当患者</w:t>
      </w:r>
      <w:r>
        <w:rPr>
          <w:rFonts w:ascii="仿宋_GB2312" w:eastAsia="仿宋_GB2312" w:hint="eastAsia"/>
          <w:sz w:val="32"/>
          <w:szCs w:val="32"/>
        </w:rPr>
        <w:t>合并其他疾病，但</w:t>
      </w:r>
      <w:r w:rsidRPr="00BA5494">
        <w:rPr>
          <w:rFonts w:ascii="仿宋_GB2312" w:eastAsia="仿宋_GB2312" w:hint="eastAsia"/>
          <w:sz w:val="32"/>
          <w:szCs w:val="32"/>
        </w:rPr>
        <w:t>住院期间不需要特殊处理也不影响第一诊断的临床路径流程实施时，可以进入路径</w:t>
      </w:r>
      <w:r w:rsidRPr="00BC61BC">
        <w:rPr>
          <w:rFonts w:ascii="仿宋_GB2312" w:eastAsia="仿宋_GB2312" w:hAnsi="宋体" w:hint="eastAsia"/>
          <w:sz w:val="32"/>
          <w:szCs w:val="32"/>
        </w:rPr>
        <w:t>。</w:t>
      </w:r>
    </w:p>
    <w:p w:rsidR="00C130C3" w:rsidRPr="00680D9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bCs/>
          <w:sz w:val="32"/>
          <w:szCs w:val="32"/>
        </w:rPr>
      </w:pPr>
      <w:r w:rsidRPr="00680D9C">
        <w:rPr>
          <w:rFonts w:ascii="楷体_GB2312" w:eastAsia="楷体_GB2312" w:hint="eastAsia"/>
          <w:b/>
          <w:bCs/>
          <w:sz w:val="32"/>
          <w:szCs w:val="32"/>
        </w:rPr>
        <w:t>（六）术前准备≤2天。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术前</w:t>
      </w:r>
      <w:r w:rsidRPr="00BC61BC">
        <w:rPr>
          <w:rFonts w:ascii="仿宋_GB2312" w:eastAsia="仿宋_GB2312" w:hAnsi="宋体" w:hint="eastAsia"/>
          <w:sz w:val="32"/>
          <w:szCs w:val="32"/>
        </w:rPr>
        <w:t>必须检查的项目：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</w:t>
      </w:r>
      <w:r w:rsidRPr="00BC61BC">
        <w:rPr>
          <w:rFonts w:ascii="仿宋_GB2312" w:eastAsia="仿宋_GB2312" w:hAnsi="宋体" w:hint="eastAsia"/>
          <w:sz w:val="32"/>
          <w:szCs w:val="32"/>
        </w:rPr>
        <w:t>血</w:t>
      </w:r>
      <w:r>
        <w:rPr>
          <w:rFonts w:ascii="仿宋_GB2312" w:eastAsia="仿宋_GB2312" w:hAnsi="宋体" w:hint="eastAsia"/>
          <w:sz w:val="32"/>
          <w:szCs w:val="32"/>
        </w:rPr>
        <w:t>常规</w:t>
      </w:r>
      <w:r w:rsidRPr="00BC61BC">
        <w:rPr>
          <w:rFonts w:ascii="仿宋_GB2312" w:eastAsia="仿宋_GB2312" w:hAnsi="宋体" w:hint="eastAsia"/>
          <w:sz w:val="32"/>
          <w:szCs w:val="32"/>
        </w:rPr>
        <w:t>、尿常规；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</w:t>
      </w:r>
      <w:r w:rsidRPr="00BC61BC">
        <w:rPr>
          <w:rFonts w:ascii="仿宋_GB2312" w:eastAsia="仿宋_GB2312" w:hAnsi="宋体" w:hint="eastAsia"/>
          <w:sz w:val="32"/>
          <w:szCs w:val="32"/>
        </w:rPr>
        <w:t>电解质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CB332C">
        <w:rPr>
          <w:rFonts w:ascii="仿宋_GB2312" w:eastAsia="仿宋_GB2312" w:hint="eastAsia"/>
          <w:sz w:val="32"/>
          <w:szCs w:val="32"/>
        </w:rPr>
        <w:t>肝</w:t>
      </w:r>
      <w:r>
        <w:rPr>
          <w:rFonts w:ascii="仿宋_GB2312" w:eastAsia="仿宋_GB2312" w:hint="eastAsia"/>
          <w:sz w:val="32"/>
          <w:szCs w:val="32"/>
        </w:rPr>
        <w:t>功能</w:t>
      </w:r>
      <w:r w:rsidRPr="002B698F">
        <w:rPr>
          <w:rFonts w:ascii="仿宋_GB2312" w:eastAsia="仿宋_GB2312" w:hint="eastAsia"/>
          <w:sz w:val="32"/>
          <w:szCs w:val="32"/>
        </w:rPr>
        <w:t>、</w:t>
      </w:r>
      <w:r w:rsidRPr="00CB332C">
        <w:rPr>
          <w:rFonts w:ascii="仿宋_GB2312" w:eastAsia="仿宋_GB2312" w:hint="eastAsia"/>
          <w:sz w:val="32"/>
          <w:szCs w:val="32"/>
        </w:rPr>
        <w:t>肾功能、</w:t>
      </w:r>
      <w:r w:rsidRPr="00BC61BC">
        <w:rPr>
          <w:rFonts w:ascii="仿宋_GB2312" w:eastAsia="仿宋_GB2312" w:hAnsi="宋体" w:hint="eastAsia"/>
          <w:sz w:val="32"/>
          <w:szCs w:val="32"/>
        </w:rPr>
        <w:t>凝血功能；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</w:t>
      </w:r>
      <w:r w:rsidRPr="00BC61BC">
        <w:rPr>
          <w:rFonts w:ascii="仿宋_GB2312" w:eastAsia="仿宋_GB2312" w:hAnsi="宋体" w:hint="eastAsia"/>
          <w:sz w:val="32"/>
          <w:szCs w:val="32"/>
        </w:rPr>
        <w:t>感染性疾病筛查（乙肝、丙肝、艾滋病、梅毒等）；</w:t>
      </w:r>
    </w:p>
    <w:p w:rsidR="00C130C3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（4）</w:t>
      </w:r>
      <w:r w:rsidRPr="00CF61FD">
        <w:rPr>
          <w:rFonts w:ascii="仿宋_GB2312" w:eastAsia="仿宋_GB2312" w:hint="eastAsia"/>
          <w:sz w:val="32"/>
          <w:szCs w:val="32"/>
        </w:rPr>
        <w:t>胸片</w:t>
      </w:r>
      <w:r w:rsidRPr="00A36E15">
        <w:rPr>
          <w:rFonts w:ascii="仿宋_GB2312" w:eastAsia="仿宋_GB2312" w:hint="eastAsia"/>
          <w:sz w:val="32"/>
          <w:szCs w:val="32"/>
        </w:rPr>
        <w:t>X线</w:t>
      </w:r>
      <w:r>
        <w:rPr>
          <w:rFonts w:ascii="仿宋_GB2312" w:eastAsia="仿宋_GB2312" w:hint="eastAsia"/>
          <w:sz w:val="32"/>
          <w:szCs w:val="32"/>
        </w:rPr>
        <w:t>检查</w:t>
      </w:r>
      <w:r w:rsidRPr="00CF61FD">
        <w:rPr>
          <w:rFonts w:ascii="仿宋_GB2312" w:eastAsia="仿宋_GB2312" w:hint="eastAsia"/>
          <w:sz w:val="32"/>
          <w:szCs w:val="32"/>
        </w:rPr>
        <w:t>、</w:t>
      </w:r>
      <w:r w:rsidRPr="00BC61BC">
        <w:rPr>
          <w:rFonts w:ascii="仿宋_GB2312" w:eastAsia="仿宋_GB2312" w:hAnsi="宋体" w:hint="eastAsia"/>
          <w:sz w:val="32"/>
          <w:szCs w:val="32"/>
        </w:rPr>
        <w:t>心电图。</w:t>
      </w:r>
    </w:p>
    <w:p w:rsidR="00C130C3" w:rsidRPr="003A5785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根据患者病情可选择的检查项目：</w:t>
      </w:r>
      <w:r w:rsidRPr="00AA72A6">
        <w:rPr>
          <w:rFonts w:ascii="仿宋_GB2312" w:eastAsia="仿宋_GB2312" w:hAnsi="宋体" w:hint="eastAsia"/>
          <w:sz w:val="32"/>
          <w:szCs w:val="32"/>
        </w:rPr>
        <w:t>性激素测定、</w:t>
      </w:r>
      <w:r>
        <w:rPr>
          <w:rFonts w:ascii="仿宋_GB2312" w:eastAsia="仿宋_GB2312" w:hAnsi="宋体" w:hint="eastAsia"/>
          <w:sz w:val="32"/>
          <w:szCs w:val="32"/>
        </w:rPr>
        <w:t>甲胎蛋白（AFP）测定</w:t>
      </w:r>
      <w:r w:rsidRPr="00AA72A6">
        <w:rPr>
          <w:rFonts w:ascii="仿宋_GB2312" w:eastAsia="仿宋_GB2312" w:hAnsi="宋体" w:hint="eastAsia"/>
          <w:sz w:val="32"/>
          <w:szCs w:val="32"/>
        </w:rPr>
        <w:t>等。</w:t>
      </w:r>
    </w:p>
    <w:p w:rsidR="00C130C3" w:rsidRPr="00680D9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bCs/>
          <w:sz w:val="32"/>
          <w:szCs w:val="32"/>
        </w:rPr>
      </w:pPr>
      <w:r w:rsidRPr="00680D9C">
        <w:rPr>
          <w:rFonts w:ascii="楷体_GB2312" w:eastAsia="楷体_GB2312" w:hint="eastAsia"/>
          <w:b/>
          <w:bCs/>
          <w:sz w:val="32"/>
          <w:szCs w:val="32"/>
        </w:rPr>
        <w:t>（七）抗菌药物选择与使用时间。</w:t>
      </w:r>
    </w:p>
    <w:p w:rsidR="00C130C3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65627">
        <w:rPr>
          <w:rFonts w:ascii="仿宋_GB2312" w:eastAsia="仿宋_GB2312" w:hint="eastAsia"/>
          <w:sz w:val="32"/>
          <w:szCs w:val="32"/>
        </w:rPr>
        <w:t>预防性抗菌药物：</w:t>
      </w:r>
      <w:r w:rsidRPr="00BA5494">
        <w:rPr>
          <w:rFonts w:ascii="仿宋_GB2312" w:eastAsia="仿宋_GB2312" w:hint="eastAsia"/>
          <w:sz w:val="32"/>
          <w:szCs w:val="32"/>
        </w:rPr>
        <w:t>按照《抗菌药物临床应用指导原则》</w:t>
      </w:r>
      <w:r w:rsidRPr="00BA5494">
        <w:rPr>
          <w:rFonts w:ascii="仿宋_GB2312" w:eastAsia="仿宋_GB2312" w:hint="eastAsia"/>
          <w:sz w:val="32"/>
          <w:szCs w:val="32"/>
        </w:rPr>
        <w:lastRenderedPageBreak/>
        <w:t>（卫医发〔2004〕285号）执行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原则上不使用抗菌药物。</w:t>
      </w:r>
      <w:r w:rsidRPr="00C20171">
        <w:rPr>
          <w:rFonts w:ascii="仿宋_GB2312" w:eastAsia="仿宋_GB2312" w:hint="eastAsia"/>
          <w:bCs/>
          <w:sz w:val="32"/>
          <w:szCs w:val="32"/>
        </w:rPr>
        <w:t>根据患者的病情决定抗菌药物的选择与使用时间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可考虑使用第一、二代头孢菌素、环丙沙星。</w:t>
      </w:r>
    </w:p>
    <w:p w:rsidR="00C130C3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（1）推荐使用头孢唑林钠静脉注射或静脉滴注：</w:t>
      </w:r>
    </w:p>
    <w:p w:rsidR="00C130C3" w:rsidRDefault="00C130C3" w:rsidP="00C130C3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1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①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成人：</w:t>
      </w:r>
      <w:smartTag w:uri="urn:schemas-microsoft-com:office:smarttags" w:element="chmetcnv">
        <w:smartTagPr>
          <w:attr w:name="UnitName" w:val="g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snapToGrid w:val="0"/>
            <w:kern w:val="0"/>
            <w:sz w:val="32"/>
            <w:szCs w:val="32"/>
          </w:rPr>
          <w:t>0.5g</w:t>
        </w:r>
      </w:smartTag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snapToGrid w:val="0"/>
            <w:kern w:val="0"/>
            <w:sz w:val="32"/>
            <w:szCs w:val="32"/>
          </w:rPr>
          <w:t>-1g</w:t>
        </w:r>
      </w:smartTag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/次，一日2-3次；</w:t>
      </w:r>
    </w:p>
    <w:p w:rsidR="00C130C3" w:rsidRDefault="00C130C3" w:rsidP="00C130C3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2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②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儿童：一日量为20-30mg/Kg体重，分3-4次给药；</w:t>
      </w:r>
    </w:p>
    <w:p w:rsidR="00C130C3" w:rsidRDefault="00C130C3" w:rsidP="00C130C3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3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③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对本药或其他头孢菌素类药过敏者，对青霉素类药有过敏性休克史者禁用；肝肾功能不全者、有胃肠道疾病史者慎用；</w:t>
      </w:r>
    </w:p>
    <w:p w:rsidR="00C130C3" w:rsidRDefault="00C130C3" w:rsidP="00C130C3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4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④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使用本药前须进行皮试。</w:t>
      </w:r>
    </w:p>
    <w:p w:rsidR="00C130C3" w:rsidRDefault="00C130C3" w:rsidP="00C130C3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（2）推荐</w:t>
      </w:r>
      <w:r>
        <w:rPr>
          <w:rFonts w:ascii="仿宋_GB2312" w:eastAsia="仿宋_GB2312" w:hint="eastAsia"/>
          <w:sz w:val="32"/>
          <w:szCs w:val="32"/>
        </w:rPr>
        <w:t>头孢呋辛钠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肌内或静脉注射：</w:t>
      </w:r>
    </w:p>
    <w:p w:rsidR="00C130C3" w:rsidRDefault="00C130C3" w:rsidP="00C130C3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1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①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成人：</w:t>
      </w:r>
      <w:smartTag w:uri="urn:schemas-microsoft-com:office:smarttags" w:element="chmetcnv">
        <w:smartTagPr>
          <w:attr w:name="UnitName" w:val="g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snapToGrid w:val="0"/>
            <w:kern w:val="0"/>
            <w:sz w:val="32"/>
            <w:szCs w:val="32"/>
          </w:rPr>
          <w:t>0.75g</w:t>
        </w:r>
      </w:smartTag>
      <w:smartTag w:uri="urn:schemas-microsoft-com:office:smarttags" w:element="chmetcnv">
        <w:smartTagPr>
          <w:attr w:name="UnitName" w:val="g"/>
          <w:attr w:name="SourceValue" w:val="1.5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snapToGrid w:val="0"/>
            <w:kern w:val="0"/>
            <w:sz w:val="32"/>
            <w:szCs w:val="32"/>
          </w:rPr>
          <w:t>-1.5g</w:t>
        </w:r>
      </w:smartTag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/次，一日二次；</w:t>
      </w:r>
    </w:p>
    <w:p w:rsidR="00C130C3" w:rsidRDefault="00C130C3" w:rsidP="00C130C3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2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②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儿童：</w:t>
      </w:r>
      <w:r>
        <w:rPr>
          <w:rFonts w:ascii="仿宋_GB2312" w:eastAsia="仿宋_GB2312" w:hint="eastAsia"/>
          <w:sz w:val="32"/>
          <w:szCs w:val="32"/>
        </w:rPr>
        <w:t>平均一日剂量为60mg/kg,严重感染可用到100</w:t>
      </w:r>
      <w:r w:rsidRPr="00466AD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mg/kg，分3-4次给予；</w:t>
      </w:r>
    </w:p>
    <w:p w:rsidR="00C130C3" w:rsidRDefault="00C130C3" w:rsidP="00C130C3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3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③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肾功能不全患者按照肌酐清除率制订给药方案：肌酐清除率</w:t>
      </w:r>
      <w:r>
        <w:rPr>
          <w:rFonts w:ascii="仿宋_GB2312" w:eastAsia="仿宋_GB2312" w:hAnsi="仿宋_GB2312" w:hint="eastAsia"/>
          <w:sz w:val="32"/>
          <w:szCs w:val="32"/>
        </w:rPr>
        <w:t>&gt;</w:t>
      </w:r>
      <w:r>
        <w:rPr>
          <w:rFonts w:ascii="仿宋_GB2312" w:eastAsia="仿宋_GB2312" w:hint="eastAsia"/>
          <w:sz w:val="32"/>
          <w:szCs w:val="32"/>
        </w:rPr>
        <w:t>20ml/min者，每日3次，每次0.75</w:t>
      </w:r>
      <w:smartTag w:uri="urn:schemas-microsoft-com:office:smarttags" w:element="chmetcnv">
        <w:smartTagPr>
          <w:attr w:name="UnitName" w:val="g"/>
          <w:attr w:name="SourceValue" w:val="1.5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仿宋_GB2312" w:eastAsia="仿宋_GB2312" w:hint="eastAsia"/>
            <w:sz w:val="32"/>
            <w:szCs w:val="32"/>
          </w:rPr>
          <w:t>-1.5g</w:t>
        </w:r>
      </w:smartTag>
      <w:r>
        <w:rPr>
          <w:rFonts w:ascii="仿宋_GB2312" w:eastAsia="仿宋_GB2312" w:hint="eastAsia"/>
          <w:sz w:val="32"/>
          <w:szCs w:val="32"/>
        </w:rPr>
        <w:t>；肌酐清除率10-20ml/min患者，每次</w:t>
      </w:r>
      <w:smartTag w:uri="urn:schemas-microsoft-com:office:smarttags" w:element="chmetcnv">
        <w:smartTagPr>
          <w:attr w:name="UnitName" w:val="g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 w:val="32"/>
            <w:szCs w:val="32"/>
          </w:rPr>
          <w:t>0.75g</w:t>
        </w:r>
      </w:smartTag>
      <w:r>
        <w:rPr>
          <w:rFonts w:ascii="仿宋_GB2312" w:eastAsia="仿宋_GB2312" w:hint="eastAsia"/>
          <w:sz w:val="32"/>
          <w:szCs w:val="32"/>
        </w:rPr>
        <w:t>，一日2次；肌酐清除率</w:t>
      </w:r>
      <w:r>
        <w:rPr>
          <w:rFonts w:ascii="仿宋_GB2312" w:eastAsia="仿宋_GB2312" w:hAnsi="仿宋_GB2312" w:hint="eastAsia"/>
          <w:sz w:val="32"/>
          <w:szCs w:val="32"/>
        </w:rPr>
        <w:lastRenderedPageBreak/>
        <w:t>&lt;1</w:t>
      </w:r>
      <w:r>
        <w:rPr>
          <w:rFonts w:ascii="仿宋_GB2312" w:eastAsia="仿宋_GB2312" w:hint="eastAsia"/>
          <w:sz w:val="32"/>
          <w:szCs w:val="32"/>
        </w:rPr>
        <w:t>0ml/min患者，每次</w:t>
      </w:r>
      <w:smartTag w:uri="urn:schemas-microsoft-com:office:smarttags" w:element="chmetcnv">
        <w:smartTagPr>
          <w:attr w:name="UnitName" w:val="g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 w:val="32"/>
            <w:szCs w:val="32"/>
          </w:rPr>
          <w:t>0.75g</w:t>
        </w:r>
      </w:smartTag>
      <w:r>
        <w:rPr>
          <w:rFonts w:ascii="仿宋_GB2312" w:eastAsia="仿宋_GB2312" w:hint="eastAsia"/>
          <w:sz w:val="32"/>
          <w:szCs w:val="32"/>
        </w:rPr>
        <w:t>，一日1次；</w:t>
      </w:r>
    </w:p>
    <w:p w:rsidR="00C130C3" w:rsidRDefault="00C130C3" w:rsidP="00C130C3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4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④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对本药或其他头孢菌素类药过敏者，对青霉素类药有过敏性休克史者禁用；肝肾功能不全者、有胃肠道疾病史者慎用；</w:t>
      </w:r>
    </w:p>
    <w:p w:rsidR="00C130C3" w:rsidRDefault="00C130C3" w:rsidP="00C130C3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5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⑤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使用本药前须进行皮试。</w:t>
      </w:r>
    </w:p>
    <w:p w:rsidR="00C130C3" w:rsidRDefault="00C130C3" w:rsidP="00C130C3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 w:rsidRPr="00360C5B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（3）头孢呋辛钠过敏者建议应用环丙沙星（成人用量：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100-200mg/次</w:t>
      </w:r>
      <w:r w:rsidRPr="00360C5B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，静脉滴注，一日2次，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缓慢静脉滴注，滴注时间不少于30分钟。</w:t>
      </w:r>
      <w:r w:rsidRPr="00360C5B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18岁以下儿童禁用）。</w:t>
      </w:r>
    </w:p>
    <w:p w:rsidR="00C130C3" w:rsidRPr="00F62AB7" w:rsidRDefault="00C130C3" w:rsidP="00C130C3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napToGrid w:val="0"/>
          <w:sz w:val="32"/>
          <w:szCs w:val="32"/>
        </w:rPr>
        <w:t>预防性使用抗菌药物，时间为术前0.5小时，</w:t>
      </w:r>
      <w:r>
        <w:rPr>
          <w:rFonts w:ascii="仿宋_GB2312" w:eastAsia="仿宋_GB2312" w:hint="eastAsia"/>
          <w:sz w:val="32"/>
          <w:szCs w:val="32"/>
        </w:rPr>
        <w:t>手术超过3小时加用1次抗菌药物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C130C3" w:rsidRPr="00680D9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bCs/>
          <w:sz w:val="32"/>
          <w:szCs w:val="32"/>
        </w:rPr>
      </w:pPr>
      <w:r w:rsidRPr="00680D9C">
        <w:rPr>
          <w:rFonts w:ascii="楷体_GB2312" w:eastAsia="楷体_GB2312" w:hint="eastAsia"/>
          <w:b/>
          <w:bCs/>
          <w:sz w:val="32"/>
          <w:szCs w:val="32"/>
        </w:rPr>
        <w:t>（八）手术日为入院≤3天。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1.麻醉方式：根据患者具体情况决定。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2.手术方式：睾丸鞘膜翻转术或睾丸鞘膜切除术。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3.术中用药：麻醉用药</w:t>
      </w:r>
      <w:r>
        <w:rPr>
          <w:rFonts w:ascii="仿宋_GB2312" w:eastAsia="仿宋_GB2312" w:hAnsi="宋体" w:hint="eastAsia"/>
          <w:sz w:val="32"/>
          <w:szCs w:val="32"/>
        </w:rPr>
        <w:t>、抗菌药物等</w:t>
      </w:r>
      <w:r w:rsidRPr="00BC61BC">
        <w:rPr>
          <w:rFonts w:ascii="仿宋_GB2312" w:eastAsia="仿宋_GB2312" w:hAnsi="宋体" w:hint="eastAsia"/>
          <w:sz w:val="32"/>
          <w:szCs w:val="32"/>
        </w:rPr>
        <w:t>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4.输血：</w:t>
      </w:r>
      <w:r>
        <w:rPr>
          <w:rFonts w:ascii="仿宋_GB2312" w:eastAsia="仿宋_GB2312" w:hAnsi="宋体" w:hint="eastAsia"/>
          <w:sz w:val="32"/>
          <w:szCs w:val="32"/>
        </w:rPr>
        <w:t>根据术前血红蛋白状况及术中出血情况而定</w:t>
      </w:r>
      <w:r w:rsidRPr="00BC61BC">
        <w:rPr>
          <w:rFonts w:ascii="仿宋_GB2312" w:eastAsia="仿宋_GB2312" w:hAnsi="宋体" w:hint="eastAsia"/>
          <w:sz w:val="32"/>
          <w:szCs w:val="32"/>
        </w:rPr>
        <w:t>。</w:t>
      </w:r>
    </w:p>
    <w:p w:rsidR="00C130C3" w:rsidRPr="00680D9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bCs/>
          <w:sz w:val="32"/>
          <w:szCs w:val="32"/>
        </w:rPr>
      </w:pPr>
      <w:r w:rsidRPr="00680D9C">
        <w:rPr>
          <w:rFonts w:ascii="楷体_GB2312" w:eastAsia="楷体_GB2312" w:hint="eastAsia"/>
          <w:b/>
          <w:bCs/>
          <w:sz w:val="32"/>
          <w:szCs w:val="32"/>
        </w:rPr>
        <w:t>（九）术后住院恢复≤2天。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1.</w:t>
      </w:r>
      <w:r w:rsidRPr="00BC61BC">
        <w:rPr>
          <w:rFonts w:ascii="仿宋_GB2312" w:eastAsia="仿宋_GB2312" w:hint="eastAsia"/>
          <w:sz w:val="32"/>
          <w:szCs w:val="32"/>
        </w:rPr>
        <w:t>根据患者病情变化可选择相应的检查项目。</w:t>
      </w:r>
      <w:r w:rsidRPr="00BC61BC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lastRenderedPageBreak/>
        <w:t>2.术后用药：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（1）</w:t>
      </w:r>
      <w:r w:rsidRPr="00BC61BC">
        <w:rPr>
          <w:rFonts w:ascii="仿宋_GB2312" w:eastAsia="仿宋_GB2312" w:hint="eastAsia"/>
          <w:sz w:val="32"/>
          <w:szCs w:val="32"/>
        </w:rPr>
        <w:t>术后抗菌药物用药：</w:t>
      </w:r>
      <w:r w:rsidRPr="00BA5494">
        <w:rPr>
          <w:rFonts w:ascii="仿宋_GB2312" w:eastAsia="仿宋_GB2312" w:hint="eastAsia"/>
          <w:sz w:val="32"/>
          <w:szCs w:val="32"/>
        </w:rPr>
        <w:t>按照《抗菌药物临床应用指导原则》（卫医发〔2004〕285号）执行</w:t>
      </w:r>
      <w:r>
        <w:rPr>
          <w:rFonts w:ascii="仿宋_GB2312" w:eastAsia="仿宋_GB2312" w:hint="eastAsia"/>
          <w:sz w:val="32"/>
          <w:szCs w:val="32"/>
        </w:rPr>
        <w:t>。</w:t>
      </w:r>
      <w:r w:rsidRPr="00446AAA">
        <w:rPr>
          <w:rFonts w:ascii="仿宋_GB2312" w:eastAsia="仿宋_GB2312" w:hint="eastAsia"/>
          <w:bCs/>
          <w:sz w:val="32"/>
          <w:szCs w:val="32"/>
        </w:rPr>
        <w:t>总预防性用药时间一般不超过24小时，个别情况可延长至48小时。</w:t>
      </w:r>
      <w:r w:rsidRPr="00446AA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明确感染患者，可根据药敏试验结果调整抗菌药物</w:t>
      </w:r>
      <w:r w:rsidRPr="00F82182">
        <w:rPr>
          <w:rFonts w:ascii="仿宋_GB2312" w:eastAsia="仿宋_GB2312" w:hint="eastAsia"/>
          <w:sz w:val="32"/>
          <w:szCs w:val="32"/>
        </w:rPr>
        <w:t>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int="eastAsia"/>
          <w:sz w:val="32"/>
          <w:szCs w:val="32"/>
        </w:rPr>
        <w:t>（2）止痛药物</w:t>
      </w:r>
      <w:r>
        <w:rPr>
          <w:rFonts w:ascii="仿宋_GB2312" w:eastAsia="仿宋_GB2312" w:hint="eastAsia"/>
          <w:sz w:val="32"/>
          <w:szCs w:val="32"/>
        </w:rPr>
        <w:t>、止血药物</w:t>
      </w:r>
      <w:r w:rsidRPr="00BC61BC">
        <w:rPr>
          <w:rFonts w:ascii="仿宋_GB2312" w:eastAsia="仿宋_GB2312" w:hint="eastAsia"/>
          <w:sz w:val="32"/>
          <w:szCs w:val="32"/>
        </w:rPr>
        <w:t>。</w:t>
      </w:r>
    </w:p>
    <w:p w:rsidR="00C130C3" w:rsidRPr="00680D9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bCs/>
          <w:sz w:val="32"/>
          <w:szCs w:val="32"/>
        </w:rPr>
      </w:pPr>
      <w:r w:rsidRPr="00680D9C">
        <w:rPr>
          <w:rFonts w:ascii="楷体_GB2312" w:eastAsia="楷体_GB2312" w:hint="eastAsia"/>
          <w:b/>
          <w:bCs/>
          <w:sz w:val="32"/>
          <w:szCs w:val="32"/>
        </w:rPr>
        <w:t>（十）出院标准。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1.一般情况良好。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2.伤口无异常。</w:t>
      </w:r>
    </w:p>
    <w:p w:rsidR="00C130C3" w:rsidRPr="00680D9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bCs/>
          <w:sz w:val="32"/>
          <w:szCs w:val="32"/>
        </w:rPr>
      </w:pPr>
      <w:r w:rsidRPr="00680D9C">
        <w:rPr>
          <w:rFonts w:ascii="楷体_GB2312" w:eastAsia="楷体_GB2312" w:hint="eastAsia"/>
          <w:b/>
          <w:bCs/>
          <w:sz w:val="32"/>
          <w:szCs w:val="32"/>
        </w:rPr>
        <w:t>（十一）变异及原因分析。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1.术中、术后出现并发症，需要进一步诊治，导致住院时间延长、费用增加。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2.术后原伴随疾病控制不佳，需请相关科室会诊进一步诊治。</w:t>
      </w:r>
    </w:p>
    <w:p w:rsidR="00C130C3" w:rsidRPr="00BC61BC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C61BC">
        <w:rPr>
          <w:rFonts w:ascii="仿宋_GB2312" w:eastAsia="仿宋_GB2312" w:hAnsi="宋体" w:hint="eastAsia"/>
          <w:sz w:val="32"/>
          <w:szCs w:val="32"/>
        </w:rPr>
        <w:t>3.住院后出现其他内、外科疾病需进一步明确诊断，可</w:t>
      </w:r>
      <w:r>
        <w:rPr>
          <w:rFonts w:ascii="仿宋_GB2312" w:eastAsia="仿宋_GB2312" w:hAnsi="宋体" w:hint="eastAsia"/>
          <w:sz w:val="32"/>
          <w:szCs w:val="32"/>
        </w:rPr>
        <w:t>转</w:t>
      </w:r>
      <w:r w:rsidRPr="00BC61BC">
        <w:rPr>
          <w:rFonts w:ascii="仿宋_GB2312" w:eastAsia="仿宋_GB2312" w:hAnsi="宋体" w:hint="eastAsia"/>
          <w:sz w:val="32"/>
          <w:szCs w:val="32"/>
        </w:rPr>
        <w:t>入其他路径。</w:t>
      </w:r>
    </w:p>
    <w:p w:rsidR="00C130C3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bCs/>
          <w:sz w:val="32"/>
          <w:szCs w:val="32"/>
        </w:rPr>
      </w:pPr>
      <w:r w:rsidRPr="0000413D">
        <w:rPr>
          <w:rFonts w:ascii="楷体_GB2312" w:eastAsia="楷体_GB2312" w:hint="eastAsia"/>
          <w:b/>
          <w:bCs/>
          <w:sz w:val="32"/>
          <w:szCs w:val="32"/>
        </w:rPr>
        <w:t>（十二）参考</w:t>
      </w:r>
      <w:r>
        <w:rPr>
          <w:rFonts w:ascii="楷体_GB2312" w:eastAsia="楷体_GB2312" w:hint="eastAsia"/>
          <w:b/>
          <w:bCs/>
          <w:sz w:val="32"/>
          <w:szCs w:val="32"/>
        </w:rPr>
        <w:t>费用标准</w:t>
      </w:r>
      <w:r w:rsidRPr="0000413D">
        <w:rPr>
          <w:rFonts w:ascii="楷体_GB2312" w:eastAsia="楷体_GB2312" w:hint="eastAsia"/>
          <w:b/>
          <w:bCs/>
          <w:sz w:val="32"/>
          <w:szCs w:val="32"/>
        </w:rPr>
        <w:t>：</w:t>
      </w:r>
    </w:p>
    <w:p w:rsidR="00C130C3" w:rsidRPr="001C6AE2" w:rsidRDefault="00C130C3" w:rsidP="00C130C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1C6AE2">
        <w:rPr>
          <w:rFonts w:ascii="仿宋_GB2312" w:eastAsia="仿宋_GB2312" w:hint="eastAsia"/>
          <w:sz w:val="32"/>
          <w:szCs w:val="32"/>
        </w:rPr>
        <w:lastRenderedPageBreak/>
        <w:t>单侧手术</w:t>
      </w:r>
      <w:r w:rsidRPr="001C6AE2">
        <w:rPr>
          <w:rFonts w:ascii="仿宋_GB2312" w:eastAsia="仿宋_GB2312" w:hAnsi="宋体" w:hint="eastAsia"/>
          <w:sz w:val="32"/>
          <w:szCs w:val="32"/>
        </w:rPr>
        <w:t>3000</w:t>
      </w:r>
      <w:r w:rsidRPr="001C6AE2">
        <w:rPr>
          <w:rFonts w:ascii="仿宋_GB2312" w:eastAsia="仿宋_GB2312" w:hint="eastAsia"/>
          <w:bCs/>
          <w:sz w:val="32"/>
          <w:szCs w:val="32"/>
        </w:rPr>
        <w:t>元，双侧</w:t>
      </w:r>
      <w:r w:rsidRPr="001C6AE2">
        <w:rPr>
          <w:rFonts w:ascii="仿宋_GB2312" w:eastAsia="仿宋_GB2312" w:hint="eastAsia"/>
          <w:sz w:val="32"/>
          <w:szCs w:val="32"/>
        </w:rPr>
        <w:t>手术</w:t>
      </w:r>
      <w:r w:rsidRPr="001C6AE2">
        <w:rPr>
          <w:rFonts w:ascii="仿宋_GB2312" w:eastAsia="仿宋_GB2312" w:hAnsi="宋体" w:hint="eastAsia"/>
          <w:sz w:val="32"/>
          <w:szCs w:val="32"/>
        </w:rPr>
        <w:t>4000</w:t>
      </w:r>
      <w:r w:rsidRPr="001C6AE2">
        <w:rPr>
          <w:rFonts w:ascii="仿宋_GB2312" w:eastAsia="仿宋_GB2312" w:hint="eastAsia"/>
          <w:bCs/>
          <w:sz w:val="32"/>
          <w:szCs w:val="32"/>
        </w:rPr>
        <w:t>元。</w:t>
      </w:r>
    </w:p>
    <w:p w:rsidR="00C130C3" w:rsidRPr="00BC61BC" w:rsidRDefault="00C130C3" w:rsidP="00C130C3">
      <w:pPr>
        <w:spacing w:line="360" w:lineRule="auto"/>
        <w:ind w:firstLineChars="200" w:firstLine="640"/>
        <w:rPr>
          <w:rFonts w:hint="eastAsia"/>
          <w:b/>
          <w:sz w:val="44"/>
          <w:szCs w:val="44"/>
        </w:rPr>
      </w:pPr>
      <w:r w:rsidRPr="00BC61BC">
        <w:rPr>
          <w:rFonts w:ascii="仿宋_GB2312" w:eastAsia="仿宋_GB2312" w:hAnsi="宋体"/>
          <w:sz w:val="32"/>
          <w:szCs w:val="32"/>
        </w:rPr>
        <w:br w:type="page"/>
      </w:r>
      <w:r w:rsidRPr="00BC61BC">
        <w:rPr>
          <w:rFonts w:ascii="黑体" w:eastAsia="黑体" w:hAnsi="宋体" w:hint="eastAsia"/>
          <w:sz w:val="32"/>
          <w:szCs w:val="32"/>
        </w:rPr>
        <w:lastRenderedPageBreak/>
        <w:t>二、睾丸鞘膜积液临床路径表单</w:t>
      </w:r>
    </w:p>
    <w:p w:rsidR="00C130C3" w:rsidRPr="00680D9C" w:rsidRDefault="00C130C3" w:rsidP="00C130C3">
      <w:pPr>
        <w:rPr>
          <w:rFonts w:ascii="宋体" w:hAnsi="宋体" w:hint="eastAsia"/>
        </w:rPr>
      </w:pPr>
      <w:r w:rsidRPr="00680D9C">
        <w:rPr>
          <w:rFonts w:ascii="宋体" w:hAnsi="宋体" w:hint="eastAsia"/>
        </w:rPr>
        <w:t>适用对象：</w:t>
      </w:r>
      <w:r w:rsidRPr="00680D9C">
        <w:rPr>
          <w:rFonts w:ascii="宋体" w:hAnsi="宋体" w:hint="eastAsia"/>
          <w:b/>
          <w:bCs/>
        </w:rPr>
        <w:t>第一诊断</w:t>
      </w:r>
      <w:r w:rsidRPr="00680D9C">
        <w:rPr>
          <w:rFonts w:ascii="宋体" w:hAnsi="宋体" w:hint="eastAsia"/>
        </w:rPr>
        <w:t>为睾丸鞘膜积液（ICD-10:N43.301）</w:t>
      </w:r>
    </w:p>
    <w:p w:rsidR="00C130C3" w:rsidRPr="00680D9C" w:rsidRDefault="00C130C3" w:rsidP="00C130C3">
      <w:pPr>
        <w:ind w:firstLineChars="500" w:firstLine="1054"/>
        <w:rPr>
          <w:rFonts w:ascii="宋体" w:hAnsi="宋体" w:hint="eastAsia"/>
        </w:rPr>
      </w:pPr>
      <w:r w:rsidRPr="00680D9C">
        <w:rPr>
          <w:rFonts w:ascii="宋体" w:hAnsi="宋体" w:hint="eastAsia"/>
          <w:b/>
          <w:bCs/>
        </w:rPr>
        <w:t>行</w:t>
      </w:r>
      <w:r w:rsidRPr="00680D9C">
        <w:rPr>
          <w:rFonts w:ascii="宋体" w:hAnsi="宋体" w:hint="eastAsia"/>
        </w:rPr>
        <w:t>睾丸鞘膜翻转术（ICD-9-CM-3:61.4901）或睾丸鞘膜切除术（ICD-9-CM-3:61.2）</w:t>
      </w:r>
    </w:p>
    <w:p w:rsidR="00C130C3" w:rsidRPr="00680D9C" w:rsidRDefault="00C130C3" w:rsidP="00C130C3">
      <w:pPr>
        <w:rPr>
          <w:rFonts w:ascii="宋体" w:hAnsi="宋体" w:hint="eastAsia"/>
        </w:rPr>
      </w:pPr>
      <w:r w:rsidRPr="00680D9C">
        <w:rPr>
          <w:rFonts w:ascii="宋体" w:hAnsi="宋体" w:hint="eastAsia"/>
        </w:rPr>
        <w:t>患者姓名：</w:t>
      </w:r>
      <w:r w:rsidRPr="00680D9C">
        <w:rPr>
          <w:rFonts w:ascii="宋体" w:hAnsi="宋体" w:hint="eastAsia"/>
          <w:u w:val="single"/>
        </w:rPr>
        <w:t xml:space="preserve">             </w:t>
      </w:r>
      <w:r w:rsidRPr="00680D9C">
        <w:rPr>
          <w:rFonts w:ascii="宋体" w:hAnsi="宋体" w:hint="eastAsia"/>
        </w:rPr>
        <w:t xml:space="preserve">  性别：</w:t>
      </w:r>
      <w:r w:rsidRPr="00680D9C">
        <w:rPr>
          <w:rFonts w:ascii="宋体" w:hAnsi="宋体" w:hint="eastAsia"/>
          <w:u w:val="single"/>
        </w:rPr>
        <w:t xml:space="preserve">    </w:t>
      </w:r>
      <w:r w:rsidRPr="00680D9C">
        <w:rPr>
          <w:rFonts w:ascii="宋体" w:hAnsi="宋体" w:hint="eastAsia"/>
        </w:rPr>
        <w:t>年龄：</w:t>
      </w:r>
      <w:r w:rsidRPr="00680D9C">
        <w:rPr>
          <w:rFonts w:ascii="宋体" w:hAnsi="宋体" w:hint="eastAsia"/>
          <w:u w:val="single"/>
        </w:rPr>
        <w:t xml:space="preserve">      </w:t>
      </w:r>
      <w:r w:rsidRPr="00680D9C">
        <w:rPr>
          <w:rFonts w:ascii="宋体" w:hAnsi="宋体" w:hint="eastAsia"/>
        </w:rPr>
        <w:t>门诊号：</w:t>
      </w:r>
      <w:r w:rsidRPr="00680D9C">
        <w:rPr>
          <w:rFonts w:ascii="宋体" w:hAnsi="宋体" w:hint="eastAsia"/>
          <w:u w:val="single"/>
        </w:rPr>
        <w:t xml:space="preserve">        </w:t>
      </w:r>
      <w:r w:rsidRPr="00680D9C">
        <w:rPr>
          <w:rFonts w:ascii="宋体" w:hAnsi="宋体" w:hint="eastAsia"/>
        </w:rPr>
        <w:t>住院号：</w:t>
      </w:r>
      <w:r w:rsidRPr="00680D9C">
        <w:rPr>
          <w:rFonts w:ascii="宋体" w:hAnsi="宋体" w:hint="eastAsia"/>
          <w:u w:val="single"/>
        </w:rPr>
        <w:t xml:space="preserve">          </w:t>
      </w:r>
    </w:p>
    <w:p w:rsidR="00C130C3" w:rsidRPr="00680D9C" w:rsidRDefault="00C130C3" w:rsidP="00C130C3">
      <w:pPr>
        <w:rPr>
          <w:rFonts w:ascii="宋体" w:hAnsi="宋体" w:hint="eastAsia"/>
        </w:rPr>
      </w:pPr>
      <w:r w:rsidRPr="00680D9C">
        <w:rPr>
          <w:rFonts w:ascii="宋体" w:hAnsi="宋体" w:hint="eastAsia"/>
        </w:rPr>
        <w:t>住院日期：</w:t>
      </w:r>
      <w:r w:rsidRPr="00680D9C">
        <w:rPr>
          <w:rFonts w:ascii="宋体" w:hAnsi="宋体" w:hint="eastAsia"/>
          <w:u w:val="single"/>
        </w:rPr>
        <w:t xml:space="preserve">     </w:t>
      </w:r>
      <w:r w:rsidRPr="00680D9C">
        <w:rPr>
          <w:rFonts w:ascii="宋体" w:hAnsi="宋体" w:hint="eastAsia"/>
        </w:rPr>
        <w:t>年</w:t>
      </w:r>
      <w:r w:rsidRPr="00680D9C">
        <w:rPr>
          <w:rFonts w:ascii="宋体" w:hAnsi="宋体" w:hint="eastAsia"/>
          <w:u w:val="single"/>
        </w:rPr>
        <w:t xml:space="preserve">   </w:t>
      </w:r>
      <w:r w:rsidRPr="00680D9C">
        <w:rPr>
          <w:rFonts w:ascii="宋体" w:hAnsi="宋体" w:hint="eastAsia"/>
        </w:rPr>
        <w:t>月</w:t>
      </w:r>
      <w:r w:rsidRPr="00680D9C">
        <w:rPr>
          <w:rFonts w:ascii="宋体" w:hAnsi="宋体" w:hint="eastAsia"/>
          <w:u w:val="single"/>
        </w:rPr>
        <w:t xml:space="preserve">  </w:t>
      </w:r>
      <w:r w:rsidRPr="00680D9C">
        <w:rPr>
          <w:rFonts w:ascii="宋体" w:hAnsi="宋体" w:hint="eastAsia"/>
        </w:rPr>
        <w:t>日     出院日期：</w:t>
      </w:r>
      <w:r w:rsidRPr="00680D9C">
        <w:rPr>
          <w:rFonts w:ascii="宋体" w:hAnsi="宋体" w:hint="eastAsia"/>
          <w:u w:val="single"/>
        </w:rPr>
        <w:t xml:space="preserve">     </w:t>
      </w:r>
      <w:r w:rsidRPr="00680D9C">
        <w:rPr>
          <w:rFonts w:ascii="宋体" w:hAnsi="宋体" w:hint="eastAsia"/>
        </w:rPr>
        <w:t>年</w:t>
      </w:r>
      <w:r w:rsidRPr="00680D9C">
        <w:rPr>
          <w:rFonts w:ascii="宋体" w:hAnsi="宋体" w:hint="eastAsia"/>
          <w:u w:val="single"/>
        </w:rPr>
        <w:t xml:space="preserve">   </w:t>
      </w:r>
      <w:r w:rsidRPr="00680D9C">
        <w:rPr>
          <w:rFonts w:ascii="宋体" w:hAnsi="宋体" w:hint="eastAsia"/>
        </w:rPr>
        <w:t>月</w:t>
      </w:r>
      <w:r w:rsidRPr="00680D9C">
        <w:rPr>
          <w:rFonts w:ascii="宋体" w:hAnsi="宋体" w:hint="eastAsia"/>
          <w:u w:val="single"/>
        </w:rPr>
        <w:t xml:space="preserve">  </w:t>
      </w:r>
      <w:r w:rsidRPr="00680D9C">
        <w:rPr>
          <w:rFonts w:ascii="宋体" w:hAnsi="宋体" w:hint="eastAsia"/>
        </w:rPr>
        <w:t>日     标准住院日</w:t>
      </w:r>
      <w:r w:rsidRPr="00680D9C">
        <w:rPr>
          <w:rFonts w:ascii="宋体" w:hAnsi="宋体" w:hint="eastAsia"/>
          <w:u w:val="single"/>
        </w:rPr>
        <w:t xml:space="preserve"> 5</w:t>
      </w:r>
      <w:r>
        <w:rPr>
          <w:rFonts w:ascii="宋体" w:hAnsi="宋体" w:hint="eastAsia"/>
          <w:u w:val="single"/>
        </w:rPr>
        <w:t>-8</w:t>
      </w:r>
      <w:r w:rsidRPr="00680D9C">
        <w:rPr>
          <w:rFonts w:ascii="宋体" w:hAnsi="宋体" w:hint="eastAsia"/>
          <w:u w:val="single"/>
        </w:rPr>
        <w:t xml:space="preserve"> </w:t>
      </w:r>
      <w:r w:rsidRPr="00680D9C">
        <w:rPr>
          <w:rFonts w:ascii="宋体" w:hAnsi="宋体" w:hint="eastAsia"/>
        </w:rPr>
        <w:t>天</w:t>
      </w:r>
    </w:p>
    <w:tbl>
      <w:tblPr>
        <w:tblW w:w="10181" w:type="dxa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2597"/>
        <w:gridCol w:w="2285"/>
        <w:gridCol w:w="2098"/>
        <w:gridCol w:w="2520"/>
      </w:tblGrid>
      <w:tr w:rsidR="00C130C3" w:rsidRPr="00360C5B" w:rsidTr="003F3D5E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日期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30C3" w:rsidRPr="00360C5B" w:rsidRDefault="00C130C3" w:rsidP="003F3D5E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住院第1-2天</w:t>
            </w:r>
          </w:p>
        </w:tc>
        <w:tc>
          <w:tcPr>
            <w:tcW w:w="2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30C3" w:rsidRPr="00360C5B" w:rsidRDefault="00C130C3" w:rsidP="003F3D5E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住院第3天</w:t>
            </w:r>
          </w:p>
          <w:p w:rsidR="00C130C3" w:rsidRPr="00360C5B" w:rsidRDefault="00C130C3" w:rsidP="003F3D5E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（手术日）</w:t>
            </w:r>
          </w:p>
        </w:tc>
        <w:tc>
          <w:tcPr>
            <w:tcW w:w="2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30C3" w:rsidRPr="00360C5B" w:rsidRDefault="00C130C3" w:rsidP="003F3D5E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住院第4天</w:t>
            </w:r>
          </w:p>
          <w:p w:rsidR="00C130C3" w:rsidRPr="00360C5B" w:rsidRDefault="00C130C3" w:rsidP="003F3D5E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bCs/>
                <w:szCs w:val="21"/>
                <w:u w:val="single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（术后第1天）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30C3" w:rsidRPr="00360C5B" w:rsidRDefault="00C130C3" w:rsidP="003F3D5E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住院第5-8天</w:t>
            </w:r>
          </w:p>
          <w:p w:rsidR="00C130C3" w:rsidRPr="00360C5B" w:rsidRDefault="00C130C3" w:rsidP="003F3D5E">
            <w:pPr>
              <w:adjustRightInd w:val="0"/>
              <w:snapToGrid w:val="0"/>
              <w:ind w:firstLineChars="50" w:firstLine="105"/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（术后第2-5天）</w:t>
            </w:r>
          </w:p>
        </w:tc>
      </w:tr>
      <w:tr w:rsidR="00C130C3" w:rsidRPr="00E15C61" w:rsidTr="003F3D5E">
        <w:tblPrEx>
          <w:tblCellMar>
            <w:top w:w="0" w:type="dxa"/>
            <w:bottom w:w="0" w:type="dxa"/>
          </w:tblCellMar>
        </w:tblPrEx>
        <w:trPr>
          <w:trHeight w:val="2128"/>
          <w:jc w:val="center"/>
        </w:trPr>
        <w:tc>
          <w:tcPr>
            <w:tcW w:w="6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主</w:t>
            </w:r>
          </w:p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要</w:t>
            </w:r>
          </w:p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诊</w:t>
            </w:r>
          </w:p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疗</w:t>
            </w:r>
          </w:p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工</w:t>
            </w:r>
          </w:p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作</w:t>
            </w:r>
          </w:p>
        </w:tc>
        <w:tc>
          <w:tcPr>
            <w:tcW w:w="25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询</w:t>
            </w:r>
            <w:r w:rsidRPr="0075642E">
              <w:rPr>
                <w:rFonts w:ascii="宋体" w:hAnsi="宋体" w:hint="eastAsia"/>
                <w:szCs w:val="21"/>
              </w:rPr>
              <w:t>问病史，体格检查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完成病历及上级医师查房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完成医嘱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向患者及家属交代围手术期注意事项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签署手术知情同意书</w:t>
            </w:r>
            <w:r>
              <w:rPr>
                <w:rFonts w:ascii="宋体" w:hAnsi="宋体" w:hint="eastAsia"/>
                <w:szCs w:val="21"/>
              </w:rPr>
              <w:t>、输血</w:t>
            </w:r>
            <w:r w:rsidRPr="0075642E">
              <w:rPr>
                <w:rFonts w:ascii="宋体" w:hAnsi="宋体" w:hint="eastAsia"/>
                <w:szCs w:val="21"/>
              </w:rPr>
              <w:t>同意书</w:t>
            </w:r>
          </w:p>
        </w:tc>
        <w:tc>
          <w:tcPr>
            <w:tcW w:w="228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手术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术后向患者及家属交待病情及注意事项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完成术后病程记录及手术记录</w:t>
            </w:r>
          </w:p>
        </w:tc>
        <w:tc>
          <w:tcPr>
            <w:tcW w:w="20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观察病情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上级医师查房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完成病程记录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嘱患者下地活动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观察病情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上级医师查房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观察伤口情况，伤口换药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向患者及家属交代出院后注意事项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完成出院病程记录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出院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定期复查</w:t>
            </w:r>
          </w:p>
        </w:tc>
      </w:tr>
      <w:tr w:rsidR="00C130C3" w:rsidRPr="00E15C61" w:rsidTr="003F3D5E">
        <w:tblPrEx>
          <w:tblCellMar>
            <w:top w:w="0" w:type="dxa"/>
            <w:bottom w:w="0" w:type="dxa"/>
          </w:tblCellMar>
        </w:tblPrEx>
        <w:trPr>
          <w:trHeight w:val="4660"/>
          <w:jc w:val="center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重</w:t>
            </w:r>
          </w:p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点</w:t>
            </w:r>
          </w:p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医</w:t>
            </w:r>
          </w:p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嘱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 w:hint="eastAsia"/>
                <w:b/>
                <w:bCs/>
                <w:szCs w:val="21"/>
              </w:rPr>
            </w:pPr>
            <w:r w:rsidRPr="0075642E">
              <w:rPr>
                <w:rFonts w:ascii="宋体" w:hAnsi="宋体" w:hint="eastAsia"/>
                <w:b/>
                <w:bCs/>
                <w:szCs w:val="21"/>
              </w:rPr>
              <w:t>长期医嘱：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泌尿外科疾病护理常规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</w:t>
            </w:r>
            <w:r w:rsidRPr="0075642E">
              <w:rPr>
                <w:rFonts w:ascii="宋体" w:hAnsi="宋体" w:hint="eastAsia"/>
                <w:szCs w:val="21"/>
              </w:rPr>
              <w:t>级护理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饮食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基础用药（糖尿病、心脑血管疾病等）</w:t>
            </w:r>
          </w:p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 w:hint="eastAsia"/>
                <w:b/>
                <w:bCs/>
                <w:szCs w:val="21"/>
              </w:rPr>
            </w:pPr>
            <w:r w:rsidRPr="0075642E">
              <w:rPr>
                <w:rFonts w:ascii="宋体" w:hAnsi="宋体" w:hint="eastAsia"/>
                <w:b/>
                <w:bCs/>
                <w:szCs w:val="21"/>
              </w:rPr>
              <w:t>临时医嘱：</w:t>
            </w:r>
          </w:p>
          <w:p w:rsidR="00C130C3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血</w:t>
            </w:r>
            <w:r>
              <w:rPr>
                <w:rFonts w:ascii="宋体" w:hAnsi="宋体" w:hint="eastAsia"/>
                <w:szCs w:val="21"/>
              </w:rPr>
              <w:t>常规、</w:t>
            </w:r>
            <w:r w:rsidRPr="0075642E">
              <w:rPr>
                <w:rFonts w:ascii="宋体" w:hAnsi="宋体" w:hint="eastAsia"/>
                <w:szCs w:val="21"/>
              </w:rPr>
              <w:t>尿常规</w:t>
            </w:r>
          </w:p>
          <w:p w:rsidR="00C130C3" w:rsidRPr="003D2DBF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3D2DBF">
              <w:rPr>
                <w:rFonts w:ascii="宋体" w:hAnsi="宋体" w:hint="eastAsia"/>
                <w:szCs w:val="21"/>
              </w:rPr>
              <w:t>电解质、肝肾功能</w:t>
            </w:r>
          </w:p>
          <w:p w:rsidR="00C130C3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感染</w:t>
            </w:r>
            <w:r>
              <w:rPr>
                <w:rFonts w:ascii="宋体" w:hAnsi="宋体" w:hint="eastAsia"/>
                <w:szCs w:val="21"/>
              </w:rPr>
              <w:t>性疾病</w:t>
            </w:r>
            <w:r w:rsidRPr="0075642E">
              <w:rPr>
                <w:rFonts w:ascii="宋体" w:hAnsi="宋体" w:hint="eastAsia"/>
                <w:szCs w:val="21"/>
              </w:rPr>
              <w:t>筛查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凝血功能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胸部X线检查、</w:t>
            </w:r>
            <w:r w:rsidRPr="0075642E">
              <w:rPr>
                <w:rFonts w:ascii="宋体" w:hAnsi="宋体" w:hint="eastAsia"/>
                <w:szCs w:val="21"/>
              </w:rPr>
              <w:t>心电图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手术医嘱</w:t>
            </w:r>
          </w:p>
          <w:p w:rsidR="00C130C3" w:rsidRPr="0075642E" w:rsidRDefault="00C130C3" w:rsidP="003F3D5E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1733A6" w:rsidRDefault="00C130C3" w:rsidP="003F3D5E">
            <w:pPr>
              <w:rPr>
                <w:rFonts w:ascii="宋体" w:hAnsi="宋体" w:hint="eastAsia"/>
                <w:b/>
                <w:bCs/>
                <w:szCs w:val="21"/>
              </w:rPr>
            </w:pPr>
            <w:r w:rsidRPr="001733A6">
              <w:rPr>
                <w:rFonts w:ascii="宋体" w:hAnsi="宋体" w:hint="eastAsia"/>
                <w:b/>
                <w:bCs/>
                <w:szCs w:val="21"/>
              </w:rPr>
              <w:t>长期医嘱：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睾丸鞘膜积液术后护理常规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  <w:r w:rsidRPr="0075642E">
              <w:rPr>
                <w:rFonts w:ascii="宋体" w:hAnsi="宋体" w:hint="eastAsia"/>
                <w:szCs w:val="21"/>
              </w:rPr>
              <w:t>级护理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Pr="0075642E">
              <w:rPr>
                <w:rFonts w:ascii="宋体" w:hAnsi="宋体" w:hint="eastAsia"/>
                <w:szCs w:val="21"/>
              </w:rPr>
              <w:t>小时后恢复术前饮食</w:t>
            </w:r>
          </w:p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 w:hint="eastAsia"/>
                <w:b/>
                <w:bCs/>
                <w:szCs w:val="21"/>
              </w:rPr>
            </w:pPr>
            <w:r w:rsidRPr="0075642E">
              <w:rPr>
                <w:rFonts w:ascii="宋体" w:hAnsi="宋体" w:hint="eastAsia"/>
                <w:b/>
                <w:bCs/>
                <w:szCs w:val="21"/>
              </w:rPr>
              <w:t>临时医嘱：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输液</w:t>
            </w:r>
          </w:p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 w:hint="eastAsia"/>
                <w:b/>
                <w:bCs/>
                <w:szCs w:val="21"/>
              </w:rPr>
            </w:pPr>
            <w:r w:rsidRPr="0075642E">
              <w:rPr>
                <w:rFonts w:ascii="宋体" w:hAnsi="宋体" w:hint="eastAsia"/>
                <w:b/>
                <w:bCs/>
                <w:szCs w:val="21"/>
              </w:rPr>
              <w:t>长期医嘱：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  <w:r w:rsidRPr="0075642E">
              <w:rPr>
                <w:rFonts w:ascii="宋体" w:hAnsi="宋体" w:hint="eastAsia"/>
                <w:szCs w:val="21"/>
              </w:rPr>
              <w:t>级护理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拔伤口引流条</w:t>
            </w:r>
            <w:r>
              <w:rPr>
                <w:rFonts w:ascii="宋体" w:hAnsi="宋体" w:hint="eastAsia"/>
                <w:szCs w:val="21"/>
              </w:rPr>
              <w:t>、抬高阴囊</w:t>
            </w:r>
          </w:p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 w:hint="eastAsia"/>
                <w:b/>
                <w:bCs/>
                <w:szCs w:val="21"/>
              </w:rPr>
            </w:pPr>
            <w:r w:rsidRPr="0075642E">
              <w:rPr>
                <w:rFonts w:ascii="宋体" w:hAnsi="宋体" w:hint="eastAsia"/>
                <w:b/>
                <w:bCs/>
                <w:szCs w:val="21"/>
              </w:rPr>
              <w:t>临时医嘱：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输液</w:t>
            </w:r>
          </w:p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 w:hint="eastAsia"/>
                <w:b/>
                <w:bCs/>
                <w:szCs w:val="21"/>
              </w:rPr>
            </w:pPr>
            <w:r w:rsidRPr="0075642E">
              <w:rPr>
                <w:rFonts w:ascii="宋体" w:hAnsi="宋体" w:hint="eastAsia"/>
                <w:b/>
                <w:bCs/>
                <w:szCs w:val="21"/>
              </w:rPr>
              <w:t>出院医嘱：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今日出院</w:t>
            </w:r>
          </w:p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C130C3" w:rsidRPr="00E15C61" w:rsidTr="003F3D5E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主要</w:t>
            </w:r>
          </w:p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护理</w:t>
            </w:r>
          </w:p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工作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入院介绍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术前相关检查指导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术前常规准备及注意事项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麻醉后注意事项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术后引流条护理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术后饮食饮水注意事项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术后活动指导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术后饮食饮水注意事项</w:t>
            </w:r>
          </w:p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指导介绍出院手续</w:t>
            </w:r>
          </w:p>
          <w:p w:rsidR="00C130C3" w:rsidRPr="0075642E" w:rsidRDefault="00C130C3" w:rsidP="003F3D5E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宋体" w:hAnsi="宋体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遵医嘱定期复查</w:t>
            </w:r>
          </w:p>
        </w:tc>
      </w:tr>
      <w:tr w:rsidR="00C130C3" w:rsidRPr="00E15C61" w:rsidTr="003F3D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病情</w:t>
            </w:r>
          </w:p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变异</w:t>
            </w:r>
          </w:p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记录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75642E">
              <w:rPr>
                <w:rFonts w:ascii="宋体" w:hAnsi="宋体"/>
                <w:szCs w:val="21"/>
              </w:rPr>
              <w:t xml:space="preserve">无  </w:t>
            </w:r>
            <w:r w:rsidRPr="0075642E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75642E">
              <w:rPr>
                <w:rFonts w:ascii="宋体" w:hAnsi="宋体"/>
                <w:szCs w:val="21"/>
              </w:rPr>
              <w:t>有，原因：</w:t>
            </w:r>
          </w:p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1．</w:t>
            </w:r>
          </w:p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2．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75642E">
              <w:rPr>
                <w:rFonts w:ascii="宋体" w:hAnsi="宋体"/>
                <w:szCs w:val="21"/>
              </w:rPr>
              <w:t xml:space="preserve">无  </w:t>
            </w:r>
            <w:r w:rsidRPr="0075642E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75642E">
              <w:rPr>
                <w:rFonts w:ascii="宋体" w:hAnsi="宋体"/>
                <w:szCs w:val="21"/>
              </w:rPr>
              <w:t>有</w:t>
            </w:r>
            <w:r w:rsidRPr="0075642E">
              <w:rPr>
                <w:rFonts w:ascii="宋体" w:hAnsi="宋体" w:hint="eastAsia"/>
                <w:szCs w:val="21"/>
              </w:rPr>
              <w:t>，</w:t>
            </w:r>
            <w:r w:rsidRPr="0075642E">
              <w:rPr>
                <w:rFonts w:ascii="宋体" w:hAnsi="宋体"/>
                <w:szCs w:val="21"/>
              </w:rPr>
              <w:t>原因：</w:t>
            </w:r>
          </w:p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1．</w:t>
            </w:r>
          </w:p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2．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75642E">
              <w:rPr>
                <w:rFonts w:ascii="宋体" w:hAnsi="宋体"/>
                <w:szCs w:val="21"/>
              </w:rPr>
              <w:t xml:space="preserve">无  </w:t>
            </w:r>
            <w:r w:rsidRPr="0075642E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75642E">
              <w:rPr>
                <w:rFonts w:ascii="宋体" w:hAnsi="宋体"/>
                <w:szCs w:val="21"/>
              </w:rPr>
              <w:t>有，原因：</w:t>
            </w:r>
          </w:p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1．</w:t>
            </w:r>
          </w:p>
          <w:p w:rsidR="00C130C3" w:rsidRPr="0075642E" w:rsidRDefault="00C130C3" w:rsidP="003F3D5E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75642E">
              <w:rPr>
                <w:rFonts w:ascii="宋体" w:hAnsi="宋体" w:hint="eastAsia"/>
                <w:szCs w:val="21"/>
              </w:rPr>
              <w:t>2．</w:t>
            </w:r>
          </w:p>
        </w:tc>
      </w:tr>
      <w:tr w:rsidR="00C130C3" w:rsidRPr="00E15C61" w:rsidTr="003F3D5E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护士</w:t>
            </w:r>
          </w:p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签名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E15C61" w:rsidRDefault="00C130C3" w:rsidP="003F3D5E">
            <w:pPr>
              <w:jc w:val="center"/>
              <w:rPr>
                <w:szCs w:val="21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E15C61" w:rsidRDefault="00C130C3" w:rsidP="003F3D5E">
            <w:pPr>
              <w:jc w:val="center"/>
              <w:rPr>
                <w:szCs w:val="21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E15C61" w:rsidRDefault="00C130C3" w:rsidP="003F3D5E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E15C61" w:rsidRDefault="00C130C3" w:rsidP="003F3D5E">
            <w:pPr>
              <w:jc w:val="center"/>
              <w:rPr>
                <w:szCs w:val="21"/>
              </w:rPr>
            </w:pPr>
          </w:p>
        </w:tc>
      </w:tr>
      <w:tr w:rsidR="00C130C3" w:rsidRPr="00E15C61" w:rsidTr="003F3D5E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医师</w:t>
            </w:r>
          </w:p>
          <w:p w:rsidR="00C130C3" w:rsidRPr="00360C5B" w:rsidRDefault="00C130C3" w:rsidP="003F3D5E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360C5B">
              <w:rPr>
                <w:rFonts w:ascii="黑体" w:eastAsia="黑体" w:hAnsi="宋体" w:hint="eastAsia"/>
                <w:bCs/>
                <w:szCs w:val="21"/>
              </w:rPr>
              <w:t>签名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E15C61" w:rsidRDefault="00C130C3" w:rsidP="003F3D5E">
            <w:pPr>
              <w:rPr>
                <w:szCs w:val="21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E15C61" w:rsidRDefault="00C130C3" w:rsidP="003F3D5E">
            <w:pPr>
              <w:rPr>
                <w:szCs w:val="21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E15C61" w:rsidRDefault="00C130C3" w:rsidP="003F3D5E">
            <w:pPr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0C3" w:rsidRPr="00E15C61" w:rsidRDefault="00C130C3" w:rsidP="003F3D5E">
            <w:pPr>
              <w:rPr>
                <w:szCs w:val="21"/>
              </w:rPr>
            </w:pPr>
          </w:p>
        </w:tc>
      </w:tr>
    </w:tbl>
    <w:p w:rsidR="00C130C3" w:rsidRDefault="00C130C3" w:rsidP="00C130C3">
      <w:pPr>
        <w:rPr>
          <w:rFonts w:hint="eastAsia"/>
        </w:rPr>
      </w:pPr>
    </w:p>
    <w:p w:rsidR="00C130C3" w:rsidRDefault="00C130C3" w:rsidP="00C130C3">
      <w:pPr>
        <w:rPr>
          <w:rFonts w:hint="eastAsia"/>
        </w:rPr>
      </w:pPr>
    </w:p>
    <w:p w:rsidR="001A767A" w:rsidRDefault="001A767A"/>
    <w:sectPr w:rsidR="001A767A" w:rsidSect="001A7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4"/>
    <w:multiLevelType w:val="hybridMultilevel"/>
    <w:tmpl w:val="E8828880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30C3"/>
    <w:rsid w:val="001A767A"/>
    <w:rsid w:val="00C1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banlang</dc:creator>
  <cp:lastModifiedBy>banlang</cp:lastModifiedBy>
  <cp:revision>1</cp:revision>
  <dcterms:created xsi:type="dcterms:W3CDTF">2017-03-07T10:14:00Z</dcterms:created>
  <dcterms:modified xsi:type="dcterms:W3CDTF">2017-03-07T10:14:00Z</dcterms:modified>
</cp:coreProperties>
</file>