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2" w:rsidRPr="00F908E2" w:rsidRDefault="006D2C32" w:rsidP="006D2C32">
      <w:pPr>
        <w:jc w:val="center"/>
        <w:rPr>
          <w:rFonts w:ascii="宋体" w:hAnsi="宋体" w:hint="eastAsia"/>
          <w:b/>
          <w:sz w:val="44"/>
          <w:szCs w:val="44"/>
        </w:rPr>
      </w:pPr>
      <w:r w:rsidRPr="00F908E2">
        <w:rPr>
          <w:rFonts w:ascii="宋体" w:hAnsi="宋体" w:hint="eastAsia"/>
          <w:b/>
          <w:sz w:val="44"/>
          <w:szCs w:val="44"/>
        </w:rPr>
        <w:t>艾滋病合并肺孢子菌肺炎临床路径</w:t>
      </w:r>
    </w:p>
    <w:p w:rsidR="006D2C32" w:rsidRPr="00D106DA" w:rsidRDefault="006D2C32" w:rsidP="006D2C32">
      <w:pPr>
        <w:jc w:val="center"/>
        <w:rPr>
          <w:rFonts w:ascii="楷体_GB2312" w:eastAsia="楷体_GB2312" w:hAnsi="宋体" w:hint="eastAsia"/>
          <w:b/>
          <w:bCs/>
          <w:sz w:val="44"/>
          <w:szCs w:val="44"/>
        </w:rPr>
      </w:pPr>
      <w:r w:rsidRPr="00D106DA">
        <w:rPr>
          <w:rFonts w:ascii="楷体_GB2312" w:eastAsia="楷体_GB2312" w:hAnsi="宋体" w:hint="eastAsia"/>
          <w:b/>
          <w:bCs/>
          <w:sz w:val="32"/>
          <w:szCs w:val="32"/>
        </w:rPr>
        <w:t>（2012年版）</w:t>
      </w:r>
    </w:p>
    <w:p w:rsidR="006D2C32" w:rsidRPr="00F908E2" w:rsidRDefault="006D2C32" w:rsidP="006D2C32">
      <w:pPr>
        <w:ind w:firstLineChars="200" w:firstLine="640"/>
        <w:rPr>
          <w:rFonts w:ascii="黑体" w:eastAsia="黑体" w:hAnsi="宋体" w:hint="eastAsia"/>
          <w:sz w:val="32"/>
          <w:szCs w:val="32"/>
        </w:rPr>
      </w:pPr>
    </w:p>
    <w:p w:rsidR="006D2C32" w:rsidRPr="00F908E2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F908E2">
        <w:rPr>
          <w:rFonts w:ascii="黑体" w:eastAsia="黑体" w:hAnsi="宋体" w:hint="eastAsia"/>
          <w:sz w:val="32"/>
          <w:szCs w:val="32"/>
        </w:rPr>
        <w:t>一、艾滋病合并肺孢子菌肺炎临床路径标准住院流程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>（一）适用对象。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第一诊断为肺孢子</w:t>
      </w:r>
      <w:r>
        <w:rPr>
          <w:rFonts w:ascii="仿宋_GB2312" w:eastAsia="仿宋_GB2312" w:hAnsi="宋体" w:hint="eastAsia"/>
          <w:sz w:val="32"/>
          <w:szCs w:val="32"/>
        </w:rPr>
        <w:t>菌</w:t>
      </w:r>
      <w:r w:rsidRPr="00251747">
        <w:rPr>
          <w:rFonts w:ascii="仿宋_GB2312" w:eastAsia="仿宋_GB2312" w:hAnsi="宋体" w:hint="eastAsia"/>
          <w:sz w:val="32"/>
          <w:szCs w:val="32"/>
        </w:rPr>
        <w:t>肺炎（ICD-10：</w:t>
      </w:r>
      <w:r w:rsidRPr="00FF3F35">
        <w:rPr>
          <w:rFonts w:ascii="仿宋_GB2312" w:eastAsia="仿宋_GB2312" w:hAnsi="宋体" w:hint="eastAsia"/>
          <w:sz w:val="32"/>
          <w:szCs w:val="32"/>
        </w:rPr>
        <w:t>B20.6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FF3F35">
        <w:rPr>
          <w:rFonts w:ascii="仿宋_GB2312" w:eastAsia="仿宋_GB2312" w:hAnsi="宋体" w:hint="eastAsia"/>
          <w:sz w:val="32"/>
          <w:szCs w:val="32"/>
        </w:rPr>
        <w:t>1）</w:t>
      </w:r>
      <w:r>
        <w:rPr>
          <w:rFonts w:ascii="仿宋_GB2312" w:eastAsia="仿宋_GB2312" w:hAnsi="宋体" w:hint="eastAsia"/>
          <w:sz w:val="32"/>
          <w:szCs w:val="32"/>
        </w:rPr>
        <w:t>，第二诊断为</w:t>
      </w:r>
      <w:r w:rsidRPr="00251747">
        <w:rPr>
          <w:rFonts w:ascii="仿宋_GB2312" w:eastAsia="仿宋_GB2312" w:hAnsi="宋体" w:hint="eastAsia"/>
          <w:sz w:val="32"/>
          <w:szCs w:val="32"/>
        </w:rPr>
        <w:t>艾滋病</w:t>
      </w:r>
      <w:r>
        <w:rPr>
          <w:rFonts w:ascii="仿宋_GB2312" w:eastAsia="仿宋_GB2312" w:hAnsi="宋体" w:hint="eastAsia"/>
          <w:sz w:val="32"/>
          <w:szCs w:val="32"/>
        </w:rPr>
        <w:t>的患者。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 xml:space="preserve">（二）诊断依据。 </w:t>
      </w:r>
    </w:p>
    <w:p w:rsidR="006D2C32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根据《艾滋病诊疗指南》（中华医学会</w:t>
      </w:r>
      <w:r>
        <w:rPr>
          <w:rFonts w:ascii="仿宋_GB2312" w:eastAsia="仿宋_GB2312" w:hAnsi="宋体" w:hint="eastAsia"/>
          <w:sz w:val="32"/>
          <w:szCs w:val="32"/>
        </w:rPr>
        <w:t>感染病学分会，</w:t>
      </w:r>
      <w:r w:rsidRPr="00251747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11年</w:t>
      </w:r>
      <w:r w:rsidRPr="00251747">
        <w:rPr>
          <w:rFonts w:ascii="仿宋_GB2312" w:eastAsia="仿宋_GB2312" w:hAnsi="宋体" w:hint="eastAsia"/>
          <w:sz w:val="32"/>
          <w:szCs w:val="32"/>
        </w:rPr>
        <w:t>）。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1.隐匿或亚急性起病，干咳，气短和活动后加重，可有发热、紫绀，严重者发生呼吸窘迫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2.肺部阳性体征少，或可闻及少量散在的干湿啰音。体征与疾病症状的严重程度往往不成比例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3.胸部X线检查可见双肺</w:t>
      </w:r>
      <w:r>
        <w:rPr>
          <w:rFonts w:ascii="仿宋_GB2312" w:eastAsia="仿宋_GB2312" w:hAnsi="宋体" w:hint="eastAsia"/>
          <w:sz w:val="32"/>
          <w:szCs w:val="32"/>
        </w:rPr>
        <w:t>自</w:t>
      </w:r>
      <w:r w:rsidRPr="00251747">
        <w:rPr>
          <w:rFonts w:ascii="仿宋_GB2312" w:eastAsia="仿宋_GB2312" w:hAnsi="宋体" w:hint="eastAsia"/>
          <w:sz w:val="32"/>
          <w:szCs w:val="32"/>
        </w:rPr>
        <w:t>肺门开始的弥漫性网状结节样间质</w:t>
      </w:r>
      <w:r>
        <w:rPr>
          <w:rFonts w:ascii="仿宋_GB2312" w:eastAsia="仿宋_GB2312" w:hAnsi="宋体" w:hint="eastAsia"/>
          <w:sz w:val="32"/>
          <w:szCs w:val="32"/>
        </w:rPr>
        <w:t>病变</w:t>
      </w:r>
      <w:r w:rsidRPr="00251747">
        <w:rPr>
          <w:rFonts w:ascii="仿宋_GB2312" w:eastAsia="仿宋_GB2312" w:hAnsi="宋体" w:hint="eastAsia"/>
          <w:sz w:val="32"/>
          <w:szCs w:val="32"/>
        </w:rPr>
        <w:t>，有时呈毛玻璃状阴影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4.血气分析</w:t>
      </w:r>
      <w:r>
        <w:rPr>
          <w:rFonts w:ascii="仿宋_GB2312" w:eastAsia="仿宋_GB2312" w:hAnsi="宋体" w:hint="eastAsia"/>
          <w:sz w:val="32"/>
          <w:szCs w:val="32"/>
        </w:rPr>
        <w:t>提</w:t>
      </w:r>
      <w:r w:rsidRPr="00251747">
        <w:rPr>
          <w:rFonts w:ascii="仿宋_GB2312" w:eastAsia="仿宋_GB2312" w:hAnsi="宋体" w:hint="eastAsia"/>
          <w:sz w:val="32"/>
          <w:szCs w:val="32"/>
        </w:rPr>
        <w:t>示低氧血症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251747">
        <w:rPr>
          <w:rFonts w:ascii="仿宋_GB2312" w:eastAsia="仿宋_GB2312" w:hAnsi="宋体" w:hint="eastAsia"/>
          <w:sz w:val="32"/>
          <w:szCs w:val="32"/>
        </w:rPr>
        <w:t>严重病例动脉血氧分压（Pa</w:t>
      </w:r>
      <w:r>
        <w:rPr>
          <w:rFonts w:ascii="仿宋_GB2312" w:eastAsia="仿宋_GB2312" w:hAnsi="宋体"/>
          <w:sz w:val="32"/>
          <w:szCs w:val="32"/>
        </w:rPr>
        <w:t>O</w:t>
      </w:r>
      <w:r w:rsidRPr="00251747">
        <w:rPr>
          <w:rFonts w:ascii="仿宋_GB2312" w:eastAsia="仿宋_GB2312" w:hAnsi="宋体" w:hint="eastAsia"/>
          <w:sz w:val="32"/>
          <w:szCs w:val="32"/>
          <w:vertAlign w:val="subscript"/>
        </w:rPr>
        <w:t>2</w:t>
      </w:r>
      <w:r w:rsidRPr="00251747">
        <w:rPr>
          <w:rFonts w:ascii="仿宋_GB2312" w:eastAsia="仿宋_GB2312" w:hAnsi="宋体" w:hint="eastAsia"/>
          <w:sz w:val="32"/>
          <w:szCs w:val="32"/>
        </w:rPr>
        <w:t>）明显降低，常在60 mmHg以下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Default="006D2C32" w:rsidP="006D2C32">
      <w:pPr>
        <w:widowControl/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5.血乳酸脱氢酶常升高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6.有条件的</w:t>
      </w:r>
      <w:r>
        <w:rPr>
          <w:rFonts w:ascii="仿宋_GB2312" w:eastAsia="仿宋_GB2312" w:hAnsi="宋体" w:hint="eastAsia"/>
          <w:sz w:val="32"/>
          <w:szCs w:val="32"/>
        </w:rPr>
        <w:t>病例</w:t>
      </w:r>
      <w:r w:rsidRPr="00251747">
        <w:rPr>
          <w:rFonts w:ascii="仿宋_GB2312" w:eastAsia="仿宋_GB2312" w:hAnsi="宋体" w:hint="eastAsia"/>
          <w:sz w:val="32"/>
          <w:szCs w:val="32"/>
        </w:rPr>
        <w:t>依靠病原学检查进行确诊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251747">
        <w:rPr>
          <w:rFonts w:ascii="仿宋_GB2312" w:eastAsia="仿宋_GB2312" w:hAnsi="宋体" w:hint="eastAsia"/>
          <w:sz w:val="32"/>
          <w:szCs w:val="32"/>
        </w:rPr>
        <w:t>如痰液或支气管肺泡灌洗/肺组织活检等</w:t>
      </w:r>
      <w:r>
        <w:rPr>
          <w:rFonts w:ascii="仿宋_GB2312" w:eastAsia="仿宋_GB2312" w:hAnsi="宋体" w:hint="eastAsia"/>
          <w:sz w:val="32"/>
          <w:szCs w:val="32"/>
        </w:rPr>
        <w:t>，可</w:t>
      </w:r>
      <w:r w:rsidRPr="00251747">
        <w:rPr>
          <w:rFonts w:ascii="仿宋_GB2312" w:eastAsia="仿宋_GB2312" w:hAnsi="宋体" w:hint="eastAsia"/>
          <w:sz w:val="32"/>
          <w:szCs w:val="32"/>
        </w:rPr>
        <w:t>发现肺孢子菌的包囊或滋养体等。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>（三）选择治疗方案的依据。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lastRenderedPageBreak/>
        <w:t>根据《艾滋病诊疗指南》（中华医学会</w:t>
      </w:r>
      <w:r>
        <w:rPr>
          <w:rFonts w:ascii="仿宋_GB2312" w:eastAsia="仿宋_GB2312" w:hAnsi="宋体" w:hint="eastAsia"/>
          <w:sz w:val="32"/>
          <w:szCs w:val="32"/>
        </w:rPr>
        <w:t>感染病学分会，2011年</w:t>
      </w:r>
      <w:r w:rsidRPr="00251747">
        <w:rPr>
          <w:rFonts w:ascii="仿宋_GB2312" w:eastAsia="仿宋_GB2312" w:hAnsi="宋体" w:hint="eastAsia"/>
          <w:sz w:val="32"/>
          <w:szCs w:val="32"/>
        </w:rPr>
        <w:t>）。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1.治疗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（1）对症治疗：卧床休息，</w:t>
      </w:r>
      <w:r w:rsidRPr="00251747">
        <w:rPr>
          <w:rFonts w:ascii="仿宋_GB2312" w:eastAsia="仿宋_GB2312" w:hAnsi="宋体" w:hint="eastAsia"/>
          <w:bCs/>
          <w:sz w:val="32"/>
          <w:szCs w:val="32"/>
        </w:rPr>
        <w:t>给予吸氧、</w:t>
      </w:r>
      <w:r w:rsidRPr="00251747">
        <w:rPr>
          <w:rFonts w:ascii="仿宋_GB2312" w:eastAsia="仿宋_GB2312" w:hAnsi="宋体" w:hint="eastAsia"/>
          <w:bCs/>
          <w:sz w:val="28"/>
        </w:rPr>
        <w:t>改善通气功能，</w:t>
      </w:r>
      <w:r w:rsidRPr="00251747">
        <w:rPr>
          <w:rFonts w:ascii="仿宋_GB2312" w:eastAsia="仿宋_GB2312" w:hAnsi="宋体" w:hint="eastAsia"/>
          <w:sz w:val="32"/>
          <w:szCs w:val="32"/>
        </w:rPr>
        <w:t>祛痰、止咳，解痉、平喘，</w:t>
      </w:r>
      <w:r w:rsidRPr="00251747">
        <w:rPr>
          <w:rFonts w:ascii="仿宋_GB2312" w:eastAsia="仿宋_GB2312" w:hAnsi="宋体" w:hint="eastAsia"/>
          <w:bCs/>
          <w:sz w:val="32"/>
          <w:szCs w:val="32"/>
        </w:rPr>
        <w:t>注意水和电解质平衡。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bCs/>
          <w:sz w:val="32"/>
          <w:szCs w:val="32"/>
        </w:rPr>
        <w:t>（2）病原治疗</w:t>
      </w:r>
      <w:r w:rsidRPr="00251747"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（3）激素治疗。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（4）人工辅助通气：如患者进行性呼吸困难明显，可给予人工辅助通气。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2.并发症治疗：如气胸等。</w:t>
      </w:r>
    </w:p>
    <w:p w:rsidR="006D2C32" w:rsidRPr="00251747" w:rsidRDefault="006D2C32" w:rsidP="006D2C3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3.预防：</w:t>
      </w:r>
      <w:r>
        <w:rPr>
          <w:rFonts w:ascii="仿宋_GB2312" w:eastAsia="仿宋_GB2312" w:hAnsi="宋体" w:hint="eastAsia"/>
          <w:sz w:val="32"/>
          <w:szCs w:val="32"/>
        </w:rPr>
        <w:t>参照《国家免费艾滋病抗病毒治疗药物手册》第三版（人民卫生出版社）。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>（四）标准住院日为21-30天。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>（五）进入路径标准。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1.第一诊断</w:t>
      </w:r>
      <w:r>
        <w:rPr>
          <w:rFonts w:ascii="仿宋_GB2312" w:eastAsia="仿宋_GB2312" w:hint="eastAsia"/>
          <w:color w:val="000000"/>
          <w:sz w:val="32"/>
        </w:rPr>
        <w:t>必须符合</w:t>
      </w:r>
      <w:r w:rsidRPr="00251747">
        <w:rPr>
          <w:rFonts w:ascii="仿宋_GB2312" w:eastAsia="仿宋_GB2312" w:hAnsi="宋体" w:hint="eastAsia"/>
          <w:sz w:val="32"/>
          <w:szCs w:val="32"/>
        </w:rPr>
        <w:t>肺孢子</w:t>
      </w:r>
      <w:r>
        <w:rPr>
          <w:rFonts w:ascii="仿宋_GB2312" w:eastAsia="仿宋_GB2312" w:hAnsi="宋体" w:hint="eastAsia"/>
          <w:sz w:val="32"/>
          <w:szCs w:val="32"/>
        </w:rPr>
        <w:t>菌</w:t>
      </w:r>
      <w:r w:rsidRPr="00251747">
        <w:rPr>
          <w:rFonts w:ascii="仿宋_GB2312" w:eastAsia="仿宋_GB2312" w:hAnsi="宋体" w:hint="eastAsia"/>
          <w:sz w:val="32"/>
          <w:szCs w:val="32"/>
        </w:rPr>
        <w:t>肺炎（ICD-10：</w:t>
      </w:r>
      <w:r w:rsidRPr="00FF3F35">
        <w:rPr>
          <w:rFonts w:ascii="仿宋_GB2312" w:eastAsia="仿宋_GB2312" w:hAnsi="宋体" w:hint="eastAsia"/>
          <w:sz w:val="32"/>
          <w:szCs w:val="32"/>
        </w:rPr>
        <w:t>B20.6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Pr="00FF3F35">
        <w:rPr>
          <w:rFonts w:ascii="仿宋_GB2312" w:eastAsia="仿宋_GB2312" w:hAnsi="宋体" w:hint="eastAsia"/>
          <w:sz w:val="32"/>
          <w:szCs w:val="32"/>
        </w:rPr>
        <w:t>1）</w:t>
      </w:r>
      <w:r>
        <w:rPr>
          <w:rFonts w:ascii="仿宋_GB2312" w:eastAsia="仿宋_GB2312" w:hint="eastAsia"/>
          <w:color w:val="000000"/>
          <w:sz w:val="32"/>
        </w:rPr>
        <w:t>疾病编码</w:t>
      </w:r>
      <w:r>
        <w:rPr>
          <w:rFonts w:ascii="仿宋_GB2312" w:eastAsia="仿宋_GB2312" w:hAnsi="宋体" w:hint="eastAsia"/>
          <w:sz w:val="32"/>
          <w:szCs w:val="32"/>
        </w:rPr>
        <w:t>，第二诊断为</w:t>
      </w:r>
      <w:r w:rsidRPr="00251747">
        <w:rPr>
          <w:rFonts w:ascii="仿宋_GB2312" w:eastAsia="仿宋_GB2312" w:hAnsi="宋体" w:hint="eastAsia"/>
          <w:sz w:val="32"/>
          <w:szCs w:val="32"/>
        </w:rPr>
        <w:t>艾滋病</w:t>
      </w:r>
      <w:r>
        <w:rPr>
          <w:rFonts w:ascii="仿宋_GB2312" w:eastAsia="仿宋_GB2312" w:hAnsi="宋体" w:hint="eastAsia"/>
          <w:sz w:val="32"/>
          <w:szCs w:val="32"/>
        </w:rPr>
        <w:t>的患者</w:t>
      </w:r>
      <w:r w:rsidRPr="00251747"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2.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D2C32" w:rsidRPr="00DF3BA6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DF3BA6">
        <w:rPr>
          <w:rFonts w:ascii="仿宋_GB2312" w:eastAsia="仿宋_GB2312" w:hAnsi="宋体" w:hint="eastAsia"/>
          <w:color w:val="000000"/>
          <w:sz w:val="32"/>
          <w:szCs w:val="32"/>
        </w:rPr>
        <w:t>3.当患者在住院期间需要继续服用艾滋病抗病毒治疗药物，且不影响肺孢子菌肺炎治疗前提下可继续抗病毒治疗（ART）。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 xml:space="preserve">（六）住院期间的检查项目。 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1.必</w:t>
      </w:r>
      <w:r>
        <w:rPr>
          <w:rFonts w:ascii="仿宋_GB2312" w:eastAsia="仿宋_GB2312" w:hAnsi="宋体" w:hint="eastAsia"/>
          <w:sz w:val="32"/>
          <w:szCs w:val="32"/>
        </w:rPr>
        <w:t>需</w:t>
      </w:r>
      <w:r w:rsidRPr="00251747">
        <w:rPr>
          <w:rFonts w:ascii="仿宋_GB2312" w:eastAsia="仿宋_GB2312" w:hAnsi="宋体" w:hint="eastAsia"/>
          <w:sz w:val="32"/>
          <w:szCs w:val="32"/>
        </w:rPr>
        <w:t>的检查项目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lastRenderedPageBreak/>
        <w:t>（1）血常规、尿常规、大便常规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251747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（2）肝</w:t>
      </w:r>
      <w:r>
        <w:rPr>
          <w:rFonts w:ascii="仿宋_GB2312" w:eastAsia="仿宋_GB2312" w:hAnsi="宋体" w:hint="eastAsia"/>
          <w:sz w:val="32"/>
          <w:szCs w:val="32"/>
        </w:rPr>
        <w:t>功能、</w:t>
      </w:r>
      <w:r w:rsidRPr="00251747">
        <w:rPr>
          <w:rFonts w:ascii="仿宋_GB2312" w:eastAsia="仿宋_GB2312" w:hAnsi="宋体" w:hint="eastAsia"/>
          <w:sz w:val="32"/>
          <w:szCs w:val="32"/>
        </w:rPr>
        <w:t>肾功能、电解质、血糖、血气分析；血乳酸脱氢酶、心肌酶、</w:t>
      </w:r>
      <w:r w:rsidRPr="00251747">
        <w:rPr>
          <w:rFonts w:ascii="仿宋_GB2312" w:eastAsia="仿宋_GB2312" w:hint="eastAsia"/>
          <w:spacing w:val="-6"/>
          <w:sz w:val="32"/>
          <w:szCs w:val="32"/>
        </w:rPr>
        <w:t>C反应蛋白（CRP）、CMV检查、感染性疾病筛查（乙肝、丙肝、梅毒等）</w:t>
      </w:r>
      <w:r>
        <w:rPr>
          <w:rFonts w:ascii="仿宋_GB2312" w:eastAsia="仿宋_GB2312" w:hint="eastAsia"/>
          <w:spacing w:val="-6"/>
          <w:sz w:val="32"/>
          <w:szCs w:val="32"/>
        </w:rPr>
        <w:t>、CD4</w:t>
      </w:r>
      <w:r w:rsidRPr="00DF3BA6">
        <w:rPr>
          <w:rFonts w:ascii="仿宋_GB2312" w:eastAsia="仿宋_GB2312" w:hint="eastAsia"/>
          <w:spacing w:val="-6"/>
          <w:sz w:val="32"/>
          <w:szCs w:val="32"/>
          <w:vertAlign w:val="superscript"/>
        </w:rPr>
        <w:t>+</w:t>
      </w:r>
      <w:r>
        <w:rPr>
          <w:rFonts w:ascii="仿宋_GB2312" w:eastAsia="仿宋_GB2312" w:hint="eastAsia"/>
          <w:spacing w:val="-6"/>
          <w:sz w:val="32"/>
          <w:szCs w:val="32"/>
        </w:rPr>
        <w:t>T细胞计数</w:t>
      </w:r>
      <w:r w:rsidRPr="00251747">
        <w:rPr>
          <w:rFonts w:ascii="仿宋_GB2312" w:eastAsia="仿宋_GB2312" w:hint="eastAsia"/>
          <w:spacing w:val="-6"/>
          <w:sz w:val="32"/>
          <w:szCs w:val="32"/>
        </w:rPr>
        <w:t>。</w:t>
      </w:r>
    </w:p>
    <w:p w:rsidR="006D2C32" w:rsidRPr="00DF3BA6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（3）病原体检查：</w:t>
      </w:r>
      <w:r w:rsidRPr="00DF3BA6">
        <w:rPr>
          <w:rFonts w:ascii="仿宋_GB2312" w:eastAsia="仿宋_GB2312" w:hAnsi="宋体" w:hint="eastAsia"/>
          <w:color w:val="000000"/>
          <w:sz w:val="32"/>
          <w:szCs w:val="32"/>
        </w:rPr>
        <w:t>痰、支气管肺泡盥洗液等查肺孢子菌。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（4）胸部正侧位片、心电图。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2.根据患者情况可选择：胸部CT、肺功能、痰</w:t>
      </w:r>
      <w:r>
        <w:rPr>
          <w:rFonts w:ascii="仿宋_GB2312" w:eastAsia="仿宋_GB2312" w:hAnsi="宋体" w:hint="eastAsia"/>
          <w:sz w:val="32"/>
          <w:szCs w:val="32"/>
        </w:rPr>
        <w:t>培养</w:t>
      </w:r>
      <w:r w:rsidRPr="00251747">
        <w:rPr>
          <w:rFonts w:ascii="仿宋_GB2312" w:eastAsia="仿宋_GB2312" w:hAnsi="宋体" w:hint="eastAsia"/>
          <w:sz w:val="32"/>
          <w:szCs w:val="32"/>
        </w:rPr>
        <w:t>、血培养、有创性检查找病原菌等。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>（七）选择用药。</w:t>
      </w:r>
    </w:p>
    <w:p w:rsidR="006D2C32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251747">
        <w:rPr>
          <w:rFonts w:ascii="仿宋_GB2312" w:eastAsia="仿宋_GB2312" w:hint="eastAsia"/>
          <w:sz w:val="32"/>
          <w:szCs w:val="32"/>
        </w:rPr>
        <w:t>1.按照《抗菌药物临床应用指导原则》（卫医发〔2004〕285号）执行，根据患者病情合理使用抗菌药物。</w:t>
      </w:r>
    </w:p>
    <w:p w:rsidR="006D2C32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</w:t>
      </w:r>
      <w:r w:rsidRPr="00251747">
        <w:rPr>
          <w:rFonts w:ascii="仿宋_GB2312" w:eastAsia="仿宋_GB2312" w:hAnsi="宋体" w:hint="eastAsia"/>
          <w:bCs/>
          <w:sz w:val="32"/>
          <w:szCs w:val="32"/>
        </w:rPr>
        <w:t>病原治疗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6D2C32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（1）</w:t>
      </w:r>
      <w:r w:rsidRPr="00251747">
        <w:rPr>
          <w:rFonts w:ascii="仿宋_GB2312" w:eastAsia="仿宋_GB2312" w:hAnsi="宋体" w:hint="eastAsia"/>
          <w:sz w:val="32"/>
          <w:szCs w:val="32"/>
        </w:rPr>
        <w:t>首选复方磺胺甲</w:t>
      </w:r>
      <w:r w:rsidRPr="00D106DA">
        <w:rPr>
          <w:rFonts w:ascii="宋体" w:hAnsi="宋体" w:cs="宋体" w:hint="eastAsia"/>
          <w:sz w:val="32"/>
          <w:szCs w:val="32"/>
        </w:rPr>
        <w:t>噁</w:t>
      </w:r>
      <w:r w:rsidRPr="00251747">
        <w:rPr>
          <w:rFonts w:ascii="仿宋_GB2312" w:eastAsia="仿宋_GB2312" w:hAnsi="宋体" w:hint="eastAsia"/>
          <w:sz w:val="32"/>
          <w:szCs w:val="32"/>
        </w:rPr>
        <w:t>唑（SMZ-TMP），</w:t>
      </w:r>
      <w:r w:rsidRPr="00251747">
        <w:rPr>
          <w:rFonts w:ascii="仿宋_GB2312" w:eastAsia="仿宋_GB2312" w:hAnsi="宋体" w:hint="eastAsia"/>
          <w:bCs/>
          <w:sz w:val="32"/>
          <w:szCs w:val="32"/>
        </w:rPr>
        <w:t>片剂含磺胺</w:t>
      </w:r>
      <w:r w:rsidRPr="00251747">
        <w:rPr>
          <w:rFonts w:ascii="仿宋_GB2312" w:eastAsia="仿宋_GB2312" w:hAnsi="宋体" w:hint="eastAsia"/>
          <w:sz w:val="32"/>
          <w:szCs w:val="32"/>
        </w:rPr>
        <w:t>甲</w:t>
      </w:r>
      <w:r w:rsidRPr="00D106DA">
        <w:rPr>
          <w:rFonts w:ascii="宋体" w:hAnsi="宋体" w:cs="宋体" w:hint="eastAsia"/>
          <w:sz w:val="32"/>
          <w:szCs w:val="32"/>
        </w:rPr>
        <w:t>噁</w:t>
      </w:r>
      <w:r w:rsidRPr="00251747">
        <w:rPr>
          <w:rFonts w:ascii="仿宋_GB2312" w:eastAsia="仿宋_GB2312" w:hAnsi="宋体" w:hint="eastAsia"/>
          <w:bCs/>
          <w:sz w:val="32"/>
          <w:szCs w:val="32"/>
        </w:rPr>
        <w:t>唑（SMZ）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g"/>
        </w:smartTagPr>
        <w:r w:rsidRPr="00251747">
          <w:rPr>
            <w:rFonts w:ascii="仿宋_GB2312" w:eastAsia="仿宋_GB2312" w:hAnsi="宋体" w:hint="eastAsia"/>
            <w:bCs/>
            <w:sz w:val="32"/>
            <w:szCs w:val="32"/>
          </w:rPr>
          <w:t>0.4g</w:t>
        </w:r>
      </w:smartTag>
      <w:r w:rsidRPr="00251747">
        <w:rPr>
          <w:rFonts w:ascii="仿宋_GB2312" w:eastAsia="仿宋_GB2312" w:hAnsi="宋体" w:hint="eastAsia"/>
          <w:bCs/>
          <w:sz w:val="32"/>
          <w:szCs w:val="32"/>
        </w:rPr>
        <w:t>及甲氧苄啶（TMP）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8"/>
          <w:attr w:name="UnitName" w:val="g"/>
        </w:smartTagPr>
        <w:r w:rsidRPr="00251747">
          <w:rPr>
            <w:rFonts w:ascii="仿宋_GB2312" w:eastAsia="仿宋_GB2312" w:hAnsi="宋体" w:hint="eastAsia"/>
            <w:bCs/>
            <w:sz w:val="32"/>
            <w:szCs w:val="32"/>
          </w:rPr>
          <w:t>0.08g</w:t>
        </w:r>
      </w:smartTag>
      <w:r w:rsidRPr="00251747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251747">
        <w:rPr>
          <w:rFonts w:ascii="仿宋_GB2312" w:eastAsia="仿宋_GB2312" w:hAnsi="宋体" w:hint="eastAsia"/>
          <w:sz w:val="32"/>
          <w:szCs w:val="32"/>
        </w:rPr>
        <w:t>轻-中度患者口服TMP 20mg/kg</w:t>
      </w:r>
      <w:r>
        <w:rPr>
          <w:rFonts w:ascii="仿宋_GB2312" w:eastAsia="仿宋_GB2312" w:hAnsi="宋体" w:hint="eastAsia"/>
          <w:sz w:val="32"/>
          <w:szCs w:val="32"/>
        </w:rPr>
        <w:t>·</w:t>
      </w:r>
      <w:r w:rsidRPr="00251747">
        <w:rPr>
          <w:rFonts w:ascii="仿宋_GB2312" w:eastAsia="仿宋_GB2312" w:hAnsi="宋体" w:hint="eastAsia"/>
          <w:sz w:val="32"/>
          <w:szCs w:val="32"/>
        </w:rPr>
        <w:t>d, SMZ 100mg/kg</w:t>
      </w:r>
      <w:r>
        <w:rPr>
          <w:rFonts w:ascii="仿宋_GB2312" w:eastAsia="仿宋_GB2312" w:hAnsi="宋体" w:hint="eastAsia"/>
          <w:sz w:val="32"/>
          <w:szCs w:val="32"/>
        </w:rPr>
        <w:t>·</w:t>
      </w:r>
      <w:r w:rsidRPr="00251747">
        <w:rPr>
          <w:rFonts w:ascii="仿宋_GB2312" w:eastAsia="仿宋_GB2312" w:hAnsi="宋体" w:hint="eastAsia"/>
          <w:sz w:val="32"/>
          <w:szCs w:val="32"/>
        </w:rPr>
        <w:t>d，分3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251747">
        <w:rPr>
          <w:rFonts w:ascii="仿宋_GB2312" w:eastAsia="仿宋_GB2312" w:hAnsi="宋体" w:hint="eastAsia"/>
          <w:sz w:val="32"/>
          <w:szCs w:val="32"/>
        </w:rPr>
        <w:t>4次用，疗程3周。重症患者可给予静脉用药，剂量同口服。SMZ-TMP过敏者可给予脱敏疗法。</w:t>
      </w:r>
    </w:p>
    <w:p w:rsidR="006D2C32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  <w:r w:rsidRPr="00251747">
        <w:rPr>
          <w:rFonts w:ascii="仿宋_GB2312" w:eastAsia="仿宋_GB2312" w:hAnsi="宋体" w:hint="eastAsia"/>
          <w:sz w:val="32"/>
          <w:szCs w:val="32"/>
        </w:rPr>
        <w:t>替代治疗：克林霉素600-900mg，静注，每6</w:t>
      </w:r>
      <w:r>
        <w:rPr>
          <w:rFonts w:ascii="仿宋_GB2312" w:eastAsia="仿宋_GB2312" w:hAnsi="宋体" w:hint="eastAsia"/>
          <w:sz w:val="32"/>
          <w:szCs w:val="32"/>
        </w:rPr>
        <w:t>-</w:t>
      </w:r>
      <w:r w:rsidRPr="00251747">
        <w:rPr>
          <w:rFonts w:ascii="仿宋_GB2312" w:eastAsia="仿宋_GB2312" w:hAnsi="宋体" w:hint="eastAsia"/>
          <w:sz w:val="32"/>
          <w:szCs w:val="32"/>
        </w:rPr>
        <w:t xml:space="preserve">8h </w:t>
      </w:r>
      <w:r>
        <w:rPr>
          <w:rFonts w:ascii="仿宋_GB2312" w:eastAsia="仿宋_GB2312" w:hAnsi="宋体" w:hint="eastAsia"/>
          <w:sz w:val="32"/>
          <w:szCs w:val="32"/>
        </w:rPr>
        <w:t>给药</w:t>
      </w:r>
      <w:r w:rsidRPr="00251747">
        <w:rPr>
          <w:rFonts w:ascii="仿宋_GB2312" w:eastAsia="仿宋_GB2312" w:hAnsi="宋体" w:hint="eastAsia"/>
          <w:sz w:val="32"/>
          <w:szCs w:val="32"/>
        </w:rPr>
        <w:t>1次，或450mg口服，每6h</w:t>
      </w:r>
      <w:r>
        <w:rPr>
          <w:rFonts w:ascii="仿宋_GB2312" w:eastAsia="仿宋_GB2312" w:hAnsi="宋体" w:hint="eastAsia"/>
          <w:sz w:val="32"/>
          <w:szCs w:val="32"/>
        </w:rPr>
        <w:t>给药</w:t>
      </w:r>
      <w:r w:rsidRPr="00251747">
        <w:rPr>
          <w:rFonts w:ascii="仿宋_GB2312" w:eastAsia="仿宋_GB2312" w:hAnsi="宋体" w:hint="eastAsia"/>
          <w:sz w:val="32"/>
          <w:szCs w:val="32"/>
        </w:rPr>
        <w:t>1次；联合应用伯氨喹15-30mg，口服，每日1次, 疗程21天。氨苯砜100mg，口服，每日1次；联合应用甲氧苄胺嘧啶200-400mg，口服，每日2-3次，疗程21天。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3.</w:t>
      </w:r>
      <w:r w:rsidRPr="00251747">
        <w:rPr>
          <w:rFonts w:ascii="仿宋_GB2312" w:eastAsia="仿宋_GB2312" w:hAnsi="宋体" w:hint="eastAsia"/>
          <w:sz w:val="32"/>
          <w:szCs w:val="32"/>
        </w:rPr>
        <w:t>激素治疗：中重度患者（PaO</w:t>
      </w:r>
      <w:r w:rsidRPr="00251747">
        <w:rPr>
          <w:rFonts w:ascii="仿宋_GB2312" w:eastAsia="仿宋_GB2312" w:hAnsi="宋体" w:hint="eastAsia"/>
          <w:sz w:val="32"/>
          <w:szCs w:val="32"/>
          <w:vertAlign w:val="subscript"/>
        </w:rPr>
        <w:t>2</w:t>
      </w:r>
      <w:r w:rsidRPr="00251747">
        <w:rPr>
          <w:rFonts w:ascii="仿宋_GB2312" w:eastAsia="仿宋_GB2312" w:hAnsi="宋体" w:hint="eastAsia"/>
          <w:sz w:val="32"/>
          <w:szCs w:val="32"/>
        </w:rPr>
        <w:t>＜70mmHg或肺泡-动脉血氧分压差＞35mmHg），早期可应用激素治疗，强的松片40mg每日2次，口服5天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251747">
        <w:rPr>
          <w:rFonts w:ascii="仿宋_GB2312" w:eastAsia="仿宋_GB2312" w:hAnsi="宋体" w:hint="eastAsia"/>
          <w:sz w:val="32"/>
          <w:szCs w:val="32"/>
        </w:rPr>
        <w:t>改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Pr="00251747">
        <w:rPr>
          <w:rFonts w:ascii="仿宋_GB2312" w:eastAsia="仿宋_GB2312" w:hAnsi="宋体" w:hint="eastAsia"/>
          <w:sz w:val="32"/>
          <w:szCs w:val="32"/>
        </w:rPr>
        <w:t>20mg每日2次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251747">
        <w:rPr>
          <w:rFonts w:ascii="仿宋_GB2312" w:eastAsia="仿宋_GB2312" w:hAnsi="宋体" w:hint="eastAsia"/>
          <w:sz w:val="32"/>
          <w:szCs w:val="32"/>
        </w:rPr>
        <w:t>口服5天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251747">
        <w:rPr>
          <w:rFonts w:ascii="仿宋_GB2312" w:eastAsia="仿宋_GB2312" w:hAnsi="宋体" w:hint="eastAsia"/>
          <w:sz w:val="32"/>
          <w:szCs w:val="32"/>
        </w:rPr>
        <w:t>20mg每日1次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251747">
        <w:rPr>
          <w:rFonts w:ascii="仿宋_GB2312" w:eastAsia="仿宋_GB2312" w:hAnsi="宋体" w:hint="eastAsia"/>
          <w:sz w:val="32"/>
          <w:szCs w:val="32"/>
        </w:rPr>
        <w:t>口服至疗程结束；静脉用甲基强的松龙剂量为上述强的松</w:t>
      </w:r>
      <w:r>
        <w:rPr>
          <w:rFonts w:ascii="仿宋_GB2312" w:eastAsia="仿宋_GB2312" w:hAnsi="宋体" w:hint="eastAsia"/>
          <w:sz w:val="32"/>
          <w:szCs w:val="32"/>
        </w:rPr>
        <w:t>剂量</w:t>
      </w:r>
      <w:r w:rsidRPr="00251747">
        <w:rPr>
          <w:rFonts w:ascii="仿宋_GB2312" w:eastAsia="仿宋_GB2312" w:hAnsi="宋体" w:hint="eastAsia"/>
          <w:sz w:val="32"/>
          <w:szCs w:val="32"/>
        </w:rPr>
        <w:t>的75%。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Pr="00251747">
        <w:rPr>
          <w:rFonts w:ascii="仿宋_GB2312" w:eastAsia="仿宋_GB2312" w:hAnsi="宋体" w:hint="eastAsia"/>
          <w:sz w:val="32"/>
          <w:szCs w:val="32"/>
        </w:rPr>
        <w:t>.祛痰、止咳药物。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Pr="00251747">
        <w:rPr>
          <w:rFonts w:ascii="仿宋_GB2312" w:eastAsia="仿宋_GB2312" w:hAnsi="宋体" w:hint="eastAsia"/>
          <w:sz w:val="32"/>
          <w:szCs w:val="32"/>
        </w:rPr>
        <w:t>.解痉、平喘药物。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50" w:firstLine="80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>（八）出院标准。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1.症状明显缓解。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2.病情稳定。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3.没有需要住院治疗的合并症和/或并发症。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int="eastAsia"/>
          <w:b/>
          <w:sz w:val="32"/>
          <w:szCs w:val="32"/>
        </w:rPr>
      </w:pPr>
      <w:r w:rsidRPr="00B17329">
        <w:rPr>
          <w:rFonts w:ascii="楷体_GB2312" w:eastAsia="楷体_GB2312" w:hint="eastAsia"/>
          <w:b/>
          <w:sz w:val="32"/>
          <w:szCs w:val="32"/>
        </w:rPr>
        <w:t>（九）变异及原因分析。</w:t>
      </w:r>
    </w:p>
    <w:p w:rsidR="006D2C32" w:rsidRPr="00251747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1.治疗无效或者病情进展，需复查病原学检查并调整抗菌药物，导致住院时间延长。</w:t>
      </w:r>
    </w:p>
    <w:p w:rsidR="006D2C32" w:rsidRPr="00F908E2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51747">
        <w:rPr>
          <w:rFonts w:ascii="仿宋_GB2312" w:eastAsia="仿宋_GB2312" w:hAnsi="宋体" w:hint="eastAsia"/>
          <w:sz w:val="32"/>
          <w:szCs w:val="32"/>
        </w:rPr>
        <w:t>2.伴有</w:t>
      </w:r>
      <w:r>
        <w:rPr>
          <w:rFonts w:ascii="仿宋_GB2312" w:eastAsia="仿宋_GB2312" w:hAnsi="宋体" w:hint="eastAsia"/>
          <w:sz w:val="32"/>
          <w:szCs w:val="32"/>
        </w:rPr>
        <w:t>严重</w:t>
      </w:r>
      <w:r w:rsidRPr="00251747">
        <w:rPr>
          <w:rFonts w:ascii="仿宋_GB2312" w:eastAsia="仿宋_GB2312" w:hAnsi="宋体" w:hint="eastAsia"/>
          <w:sz w:val="32"/>
          <w:szCs w:val="32"/>
        </w:rPr>
        <w:t>合并症和并发症，</w:t>
      </w:r>
      <w:r>
        <w:rPr>
          <w:rFonts w:ascii="仿宋_GB2312" w:eastAsia="仿宋_GB2312" w:hAnsi="宋体" w:hint="eastAsia"/>
          <w:sz w:val="32"/>
          <w:szCs w:val="32"/>
        </w:rPr>
        <w:t>如肺结核、呼吸衰竭</w:t>
      </w:r>
      <w:r w:rsidRPr="00F908E2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可转入相应临床路径</w:t>
      </w:r>
      <w:r w:rsidRPr="00F908E2"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宋体" w:hint="eastAsia"/>
          <w:b/>
          <w:sz w:val="32"/>
          <w:szCs w:val="32"/>
        </w:rPr>
      </w:pPr>
      <w:r w:rsidRPr="00B17329">
        <w:rPr>
          <w:rFonts w:ascii="楷体_GB2312" w:eastAsia="楷体_GB2312" w:hAnsi="宋体" w:hint="eastAsia"/>
          <w:b/>
          <w:sz w:val="32"/>
          <w:szCs w:val="32"/>
        </w:rPr>
        <w:t>（十）</w:t>
      </w:r>
      <w:r>
        <w:rPr>
          <w:rFonts w:ascii="楷体_GB2312" w:eastAsia="楷体_GB2312" w:hAnsi="宋体" w:hint="eastAsia"/>
          <w:b/>
          <w:sz w:val="32"/>
          <w:szCs w:val="32"/>
        </w:rPr>
        <w:t>参考</w:t>
      </w:r>
      <w:r w:rsidRPr="00B17329">
        <w:rPr>
          <w:rFonts w:ascii="楷体_GB2312" w:eastAsia="楷体_GB2312" w:hAnsi="宋体" w:hint="eastAsia"/>
          <w:b/>
          <w:sz w:val="32"/>
          <w:szCs w:val="32"/>
        </w:rPr>
        <w:t>费用</w:t>
      </w:r>
      <w:r>
        <w:rPr>
          <w:rFonts w:ascii="楷体_GB2312" w:eastAsia="楷体_GB2312" w:hAnsi="宋体" w:hint="eastAsia"/>
          <w:b/>
          <w:sz w:val="32"/>
          <w:szCs w:val="32"/>
        </w:rPr>
        <w:t>标准</w:t>
      </w:r>
      <w:r w:rsidRPr="00B17329">
        <w:rPr>
          <w:rFonts w:ascii="楷体_GB2312" w:eastAsia="楷体_GB2312" w:hAnsi="宋体" w:hint="eastAsia"/>
          <w:b/>
          <w:sz w:val="32"/>
          <w:szCs w:val="32"/>
        </w:rPr>
        <w:t>。</w:t>
      </w:r>
    </w:p>
    <w:p w:rsidR="006D2C32" w:rsidRPr="00B17329" w:rsidRDefault="006D2C32" w:rsidP="006D2C3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B17329">
        <w:rPr>
          <w:rFonts w:ascii="仿宋_GB2312" w:eastAsia="仿宋_GB2312" w:hAnsi="宋体" w:hint="eastAsia"/>
          <w:sz w:val="32"/>
          <w:szCs w:val="32"/>
        </w:rPr>
        <w:t>约3000-5000元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Default="006D2C32" w:rsidP="006D2C32">
      <w:pPr>
        <w:rPr>
          <w:rFonts w:eastAsia="仿宋_GB2312" w:hint="eastAsia"/>
          <w:sz w:val="24"/>
        </w:rPr>
      </w:pPr>
    </w:p>
    <w:p w:rsidR="006D2C32" w:rsidRPr="00F908E2" w:rsidRDefault="006D2C32" w:rsidP="006D2C3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F908E2">
        <w:rPr>
          <w:rFonts w:ascii="黑体" w:eastAsia="黑体" w:hAnsi="宋体" w:hint="eastAsia"/>
          <w:bCs/>
          <w:sz w:val="32"/>
          <w:szCs w:val="32"/>
        </w:rPr>
        <w:t>二、</w:t>
      </w:r>
      <w:r w:rsidRPr="00F908E2">
        <w:rPr>
          <w:rFonts w:ascii="黑体" w:eastAsia="黑体" w:hAnsi="宋体" w:hint="eastAsia"/>
          <w:sz w:val="28"/>
          <w:szCs w:val="28"/>
        </w:rPr>
        <w:t>艾滋病合并肺孢子菌肺炎</w:t>
      </w:r>
      <w:r w:rsidRPr="00F908E2">
        <w:rPr>
          <w:rFonts w:ascii="黑体" w:eastAsia="黑体" w:hAnsi="宋体" w:hint="eastAsia"/>
          <w:sz w:val="32"/>
          <w:szCs w:val="32"/>
        </w:rPr>
        <w:t>临床路径表单</w:t>
      </w:r>
    </w:p>
    <w:p w:rsidR="006D2C32" w:rsidRPr="00F908E2" w:rsidRDefault="006D2C32" w:rsidP="006D2C32">
      <w:pPr>
        <w:rPr>
          <w:rFonts w:ascii="仿宋_GB2312" w:eastAsia="仿宋_GB2312" w:hAnsi="宋体" w:hint="eastAsia"/>
          <w:szCs w:val="21"/>
        </w:rPr>
      </w:pPr>
      <w:r w:rsidRPr="00F908E2">
        <w:rPr>
          <w:rFonts w:ascii="宋体" w:hAnsi="宋体" w:hint="eastAsia"/>
          <w:szCs w:val="21"/>
        </w:rPr>
        <w:lastRenderedPageBreak/>
        <w:t>适用对象：</w:t>
      </w:r>
      <w:r w:rsidRPr="003A792D">
        <w:rPr>
          <w:rFonts w:ascii="宋体" w:hAnsi="宋体" w:hint="eastAsia"/>
          <w:szCs w:val="21"/>
        </w:rPr>
        <w:t>第一诊断为肺孢子菌肺炎（ICD-10：B20.651），第二诊断为艾滋病的患者</w:t>
      </w:r>
      <w:r w:rsidRPr="00F908E2">
        <w:rPr>
          <w:rFonts w:ascii="仿宋_GB2312" w:eastAsia="仿宋_GB2312" w:hAnsi="宋体" w:hint="eastAsia"/>
          <w:szCs w:val="21"/>
        </w:rPr>
        <w:t>。</w:t>
      </w:r>
    </w:p>
    <w:p w:rsidR="006D2C32" w:rsidRPr="00F908E2" w:rsidRDefault="006D2C32" w:rsidP="006D2C32">
      <w:pPr>
        <w:rPr>
          <w:rFonts w:ascii="宋体" w:hAnsi="宋体"/>
          <w:szCs w:val="21"/>
          <w:u w:val="single"/>
        </w:rPr>
      </w:pPr>
      <w:r w:rsidRPr="00F908E2">
        <w:rPr>
          <w:rFonts w:ascii="宋体" w:hAnsi="宋体" w:hint="eastAsia"/>
          <w:szCs w:val="21"/>
        </w:rPr>
        <w:t>患者姓名：</w:t>
      </w:r>
      <w:r w:rsidRPr="00F908E2">
        <w:rPr>
          <w:rFonts w:ascii="宋体" w:hAnsi="宋体"/>
          <w:szCs w:val="21"/>
          <w:u w:val="single"/>
        </w:rPr>
        <w:t xml:space="preserve">           </w:t>
      </w:r>
      <w:r w:rsidRPr="00F908E2">
        <w:rPr>
          <w:rFonts w:ascii="宋体" w:hAnsi="宋体" w:hint="eastAsia"/>
          <w:szCs w:val="21"/>
        </w:rPr>
        <w:t>性别：</w:t>
      </w:r>
      <w:r w:rsidRPr="00F908E2">
        <w:rPr>
          <w:rFonts w:ascii="宋体" w:hAnsi="宋体"/>
          <w:szCs w:val="21"/>
          <w:u w:val="single"/>
        </w:rPr>
        <w:t xml:space="preserve">    </w:t>
      </w:r>
      <w:r w:rsidRPr="00F908E2">
        <w:rPr>
          <w:rFonts w:ascii="宋体" w:hAnsi="宋体" w:hint="eastAsia"/>
          <w:szCs w:val="21"/>
        </w:rPr>
        <w:t>年龄：</w:t>
      </w:r>
      <w:r w:rsidRPr="00F908E2">
        <w:rPr>
          <w:rFonts w:ascii="宋体" w:hAnsi="宋体"/>
          <w:szCs w:val="21"/>
          <w:u w:val="single"/>
        </w:rPr>
        <w:t xml:space="preserve">    </w:t>
      </w:r>
      <w:r w:rsidRPr="00F908E2">
        <w:rPr>
          <w:rFonts w:ascii="宋体" w:hAnsi="宋体" w:hint="eastAsia"/>
          <w:szCs w:val="21"/>
        </w:rPr>
        <w:t>门诊号：</w:t>
      </w:r>
      <w:r w:rsidRPr="00F908E2">
        <w:rPr>
          <w:rFonts w:ascii="宋体" w:hAnsi="宋体"/>
          <w:szCs w:val="21"/>
          <w:u w:val="single"/>
        </w:rPr>
        <w:t xml:space="preserve">       </w:t>
      </w:r>
      <w:r w:rsidRPr="00F908E2">
        <w:rPr>
          <w:rFonts w:ascii="宋体" w:hAnsi="宋体" w:hint="eastAsia"/>
          <w:szCs w:val="21"/>
        </w:rPr>
        <w:t>住院号：</w:t>
      </w:r>
      <w:r w:rsidRPr="00F908E2">
        <w:rPr>
          <w:rFonts w:ascii="宋体" w:hAnsi="宋体"/>
          <w:szCs w:val="21"/>
          <w:u w:val="single"/>
        </w:rPr>
        <w:t xml:space="preserve">      </w:t>
      </w:r>
    </w:p>
    <w:p w:rsidR="006D2C32" w:rsidRPr="00F908E2" w:rsidRDefault="006D2C32" w:rsidP="006D2C32">
      <w:pPr>
        <w:rPr>
          <w:rFonts w:ascii="宋体" w:hAnsi="宋体"/>
          <w:szCs w:val="21"/>
        </w:rPr>
      </w:pPr>
      <w:r w:rsidRPr="00F908E2">
        <w:rPr>
          <w:rFonts w:ascii="宋体" w:hAnsi="宋体" w:hint="eastAsia"/>
          <w:szCs w:val="21"/>
        </w:rPr>
        <w:t>入院日期：</w:t>
      </w:r>
      <w:r w:rsidRPr="00F908E2">
        <w:rPr>
          <w:rFonts w:ascii="宋体" w:hAnsi="宋体"/>
          <w:szCs w:val="21"/>
          <w:u w:val="single"/>
        </w:rPr>
        <w:t xml:space="preserve">   </w:t>
      </w:r>
      <w:r w:rsidRPr="00F908E2">
        <w:rPr>
          <w:rFonts w:ascii="宋体" w:hAnsi="宋体" w:hint="eastAsia"/>
          <w:szCs w:val="21"/>
          <w:u w:val="single"/>
        </w:rPr>
        <w:t xml:space="preserve"> </w:t>
      </w:r>
      <w:r w:rsidRPr="00F908E2">
        <w:rPr>
          <w:rFonts w:ascii="宋体" w:hAnsi="宋体" w:hint="eastAsia"/>
          <w:szCs w:val="21"/>
        </w:rPr>
        <w:t>年</w:t>
      </w:r>
      <w:r w:rsidRPr="00F908E2">
        <w:rPr>
          <w:rFonts w:ascii="宋体" w:hAnsi="宋体"/>
          <w:szCs w:val="21"/>
          <w:u w:val="single"/>
        </w:rPr>
        <w:t xml:space="preserve">  </w:t>
      </w:r>
      <w:r w:rsidRPr="00F908E2">
        <w:rPr>
          <w:rFonts w:ascii="宋体" w:hAnsi="宋体" w:hint="eastAsia"/>
          <w:szCs w:val="21"/>
          <w:u w:val="single"/>
        </w:rPr>
        <w:t xml:space="preserve">  </w:t>
      </w:r>
      <w:r w:rsidRPr="00F908E2">
        <w:rPr>
          <w:rFonts w:ascii="宋体" w:hAnsi="宋体" w:hint="eastAsia"/>
          <w:szCs w:val="21"/>
        </w:rPr>
        <w:t>月</w:t>
      </w:r>
      <w:r w:rsidRPr="00F908E2">
        <w:rPr>
          <w:rFonts w:ascii="宋体" w:hAnsi="宋体"/>
          <w:szCs w:val="21"/>
          <w:u w:val="single"/>
        </w:rPr>
        <w:t xml:space="preserve">  </w:t>
      </w:r>
      <w:r w:rsidRPr="00F908E2">
        <w:rPr>
          <w:rFonts w:ascii="宋体" w:hAnsi="宋体" w:hint="eastAsia"/>
          <w:szCs w:val="21"/>
          <w:u w:val="single"/>
        </w:rPr>
        <w:t xml:space="preserve">  </w:t>
      </w:r>
      <w:r w:rsidRPr="00F908E2">
        <w:rPr>
          <w:rFonts w:ascii="宋体" w:hAnsi="宋体" w:hint="eastAsia"/>
          <w:szCs w:val="21"/>
        </w:rPr>
        <w:t>日</w:t>
      </w:r>
      <w:r w:rsidRPr="00F908E2">
        <w:rPr>
          <w:rFonts w:ascii="宋体" w:hAnsi="宋体"/>
          <w:szCs w:val="21"/>
        </w:rPr>
        <w:t xml:space="preserve"> </w:t>
      </w:r>
      <w:r w:rsidRPr="00F908E2">
        <w:rPr>
          <w:rFonts w:ascii="宋体" w:hAnsi="宋体" w:hint="eastAsia"/>
          <w:szCs w:val="21"/>
        </w:rPr>
        <w:t>出院日期：</w:t>
      </w:r>
      <w:r w:rsidRPr="00F908E2">
        <w:rPr>
          <w:rFonts w:ascii="宋体" w:hAnsi="宋体"/>
          <w:szCs w:val="21"/>
          <w:u w:val="single"/>
        </w:rPr>
        <w:t xml:space="preserve">   </w:t>
      </w:r>
      <w:r w:rsidRPr="00F908E2">
        <w:rPr>
          <w:rFonts w:ascii="宋体" w:hAnsi="宋体" w:hint="eastAsia"/>
          <w:szCs w:val="21"/>
          <w:u w:val="single"/>
        </w:rPr>
        <w:t xml:space="preserve"> </w:t>
      </w:r>
      <w:r w:rsidRPr="00F908E2">
        <w:rPr>
          <w:rFonts w:ascii="宋体" w:hAnsi="宋体" w:hint="eastAsia"/>
          <w:szCs w:val="21"/>
        </w:rPr>
        <w:t>年</w:t>
      </w:r>
      <w:r w:rsidRPr="00F908E2">
        <w:rPr>
          <w:rFonts w:ascii="宋体" w:hAnsi="宋体"/>
          <w:szCs w:val="21"/>
          <w:u w:val="single"/>
        </w:rPr>
        <w:t xml:space="preserve">  </w:t>
      </w:r>
      <w:r w:rsidRPr="00F908E2">
        <w:rPr>
          <w:rFonts w:ascii="宋体" w:hAnsi="宋体" w:hint="eastAsia"/>
          <w:szCs w:val="21"/>
          <w:u w:val="single"/>
        </w:rPr>
        <w:t xml:space="preserve">  </w:t>
      </w:r>
      <w:r w:rsidRPr="00F908E2">
        <w:rPr>
          <w:rFonts w:ascii="宋体" w:hAnsi="宋体" w:hint="eastAsia"/>
          <w:szCs w:val="21"/>
        </w:rPr>
        <w:t>月</w:t>
      </w:r>
      <w:r w:rsidRPr="00F908E2">
        <w:rPr>
          <w:rFonts w:ascii="宋体" w:hAnsi="宋体"/>
          <w:szCs w:val="21"/>
          <w:u w:val="single"/>
        </w:rPr>
        <w:t xml:space="preserve"> </w:t>
      </w:r>
      <w:r w:rsidRPr="00F908E2">
        <w:rPr>
          <w:rFonts w:ascii="宋体" w:hAnsi="宋体" w:hint="eastAsia"/>
          <w:szCs w:val="21"/>
          <w:u w:val="single"/>
        </w:rPr>
        <w:t xml:space="preserve"> </w:t>
      </w:r>
      <w:r w:rsidRPr="00F908E2">
        <w:rPr>
          <w:rFonts w:ascii="宋体" w:hAnsi="宋体"/>
          <w:szCs w:val="21"/>
          <w:u w:val="single"/>
        </w:rPr>
        <w:t xml:space="preserve">  </w:t>
      </w:r>
      <w:r w:rsidRPr="00F908E2">
        <w:rPr>
          <w:rFonts w:ascii="宋体" w:hAnsi="宋体" w:hint="eastAsia"/>
          <w:szCs w:val="21"/>
        </w:rPr>
        <w:t>日</w:t>
      </w:r>
      <w:r w:rsidRPr="00F908E2">
        <w:rPr>
          <w:rFonts w:ascii="宋体" w:hAnsi="宋体"/>
          <w:szCs w:val="21"/>
        </w:rPr>
        <w:t xml:space="preserve">  </w:t>
      </w:r>
      <w:r w:rsidRPr="00F908E2">
        <w:rPr>
          <w:rFonts w:ascii="宋体" w:hAnsi="宋体" w:hint="eastAsia"/>
          <w:szCs w:val="21"/>
        </w:rPr>
        <w:t>标准住院日：21-30天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4680"/>
      </w:tblGrid>
      <w:tr w:rsidR="006D2C32" w:rsidRPr="00B17329" w:rsidTr="00EE4236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日期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2C32" w:rsidRPr="00B17329" w:rsidRDefault="006D2C32" w:rsidP="00EE4236">
            <w:pPr>
              <w:ind w:firstLineChars="200" w:firstLine="420"/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住院第1–3天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2C32" w:rsidRPr="00B17329" w:rsidRDefault="006D2C32" w:rsidP="00EE4236">
            <w:pPr>
              <w:ind w:firstLineChars="200" w:firstLine="420"/>
              <w:jc w:val="center"/>
              <w:rPr>
                <w:rFonts w:ascii="黑体" w:eastAsia="黑体" w:hAnsi="宋体" w:hint="eastAsia"/>
                <w:szCs w:val="21"/>
                <w:u w:val="single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住院期间</w:t>
            </w:r>
          </w:p>
        </w:tc>
      </w:tr>
      <w:tr w:rsidR="006D2C32" w:rsidRPr="00F908E2" w:rsidTr="00EE4236">
        <w:trPr>
          <w:trHeight w:val="1806"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主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要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诊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疗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工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  <w:u w:val="single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作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询问病史及体格检查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进行病情初步评估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上级医师查房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完善入院检查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明确诊断，决定诊治方案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完成病历书写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上级医师查房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评估辅助检查的结果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注意观察咳嗽、胸闷、气喘的变化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病情评估，根据患者病情变化调整治疗方案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观察药物不良反应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住院医师书写病程记录</w:t>
            </w:r>
          </w:p>
        </w:tc>
      </w:tr>
      <w:tr w:rsidR="006D2C32" w:rsidRPr="00F908E2" w:rsidTr="00EE4236">
        <w:trPr>
          <w:trHeight w:val="4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重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点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医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F908E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传染病（血液、体液、呼吸）内科护理常规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一/二/三级护理常规（根据病情）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吸氧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抗菌药物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祛痰剂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止咳药（必要时）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激素（必要时）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HAART（住院前已开始））</w:t>
            </w:r>
          </w:p>
          <w:p w:rsidR="006D2C32" w:rsidRPr="00F908E2" w:rsidRDefault="006D2C32" w:rsidP="00EE4236">
            <w:pPr>
              <w:adjustRightInd w:val="0"/>
              <w:snapToGrid w:val="0"/>
              <w:rPr>
                <w:rFonts w:ascii="宋体" w:hAnsi="宋体" w:hint="eastAsia"/>
                <w:b/>
                <w:szCs w:val="21"/>
              </w:rPr>
            </w:pPr>
            <w:r w:rsidRPr="00F908E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血常规、尿常规、大便常规</w:t>
            </w:r>
          </w:p>
          <w:p w:rsidR="006D2C32" w:rsidRPr="00DF3BA6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F3BA6">
              <w:rPr>
                <w:rFonts w:ascii="宋体" w:hAnsi="宋体" w:hint="eastAsia"/>
                <w:color w:val="000000"/>
                <w:szCs w:val="21"/>
              </w:rPr>
              <w:t>肝肾功能、电解质、血沉、C反应蛋白（CRP）、血糖、心肌酶、CMV检查、凝血功能、感染性疾病筛查等</w:t>
            </w:r>
          </w:p>
          <w:p w:rsidR="006D2C32" w:rsidRPr="00DF3BA6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F3BA6">
              <w:rPr>
                <w:rFonts w:ascii="宋体" w:hAnsi="宋体" w:hint="eastAsia"/>
                <w:color w:val="000000"/>
                <w:szCs w:val="21"/>
              </w:rPr>
              <w:t>病原学检查及药敏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胸部正侧位片、心电图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超声检查（必要时）</w:t>
            </w:r>
          </w:p>
          <w:p w:rsidR="006D2C32" w:rsidRPr="00F908E2" w:rsidRDefault="006D2C32" w:rsidP="006D2C32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血气分析、胸部CT、肺功能（必要时）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rPr>
                <w:rFonts w:ascii="宋体" w:hAnsi="宋体"/>
                <w:b/>
                <w:szCs w:val="21"/>
              </w:rPr>
            </w:pPr>
            <w:r w:rsidRPr="00F908E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传染病（血液、体液、呼吸）内科护理常规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一/二/三级护理常规（根据病情）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吸氧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根据病情调整抗菌药物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祛痰剂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止咳药（必要时）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激素（必要时）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HAART（住院前已开始）</w:t>
            </w:r>
          </w:p>
          <w:p w:rsidR="006D2C32" w:rsidRPr="00F908E2" w:rsidRDefault="006D2C32" w:rsidP="00EE4236">
            <w:pPr>
              <w:rPr>
                <w:rFonts w:ascii="宋体" w:hAnsi="宋体" w:hint="eastAsia"/>
                <w:b/>
                <w:szCs w:val="21"/>
              </w:rPr>
            </w:pPr>
            <w:r w:rsidRPr="00F908E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复查血常规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复查胸片、CT（必要时）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异常指标复查（血气分析）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病原学检查（必要时）</w:t>
            </w:r>
          </w:p>
        </w:tc>
      </w:tr>
      <w:tr w:rsidR="006D2C32" w:rsidRPr="00F908E2" w:rsidTr="00EE4236">
        <w:trPr>
          <w:cantSplit/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主要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护理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介绍病房环境、设施和设备，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介绍科室主任护士长、主</w:t>
            </w:r>
            <w:smartTag w:uri="urn:schemas-microsoft-com:office:smarttags" w:element="PersonName">
              <w:smartTagPr>
                <w:attr w:name="ProductID" w:val="管"/>
              </w:smartTagPr>
              <w:r w:rsidRPr="00F908E2">
                <w:rPr>
                  <w:rFonts w:ascii="宋体" w:hAnsi="宋体" w:hint="eastAsia"/>
                  <w:szCs w:val="21"/>
                </w:rPr>
                <w:t>管</w:t>
              </w:r>
            </w:smartTag>
            <w:r w:rsidRPr="00F908E2">
              <w:rPr>
                <w:rFonts w:ascii="宋体" w:hAnsi="宋体" w:hint="eastAsia"/>
                <w:szCs w:val="21"/>
              </w:rPr>
              <w:t>医师、责任护士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入院护理评估，护理计划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观察患者病情变化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静脉取血，用药指导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指导正确留取痰、尿、大便标本，协助患者完成实验室检查及辅助检查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进行健康教育及安全教育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观察患者一般情况及病情变化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注意血氧饱和度变化，观察吸氧效果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观察药物疗效及不良反应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 xml:space="preserve">指导患者有效的咳嗽排痰方法及痰液处理方法 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疾病相关健康教育</w:t>
            </w:r>
          </w:p>
        </w:tc>
      </w:tr>
      <w:tr w:rsidR="006D2C32" w:rsidRPr="00F908E2" w:rsidTr="00EE42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病情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变异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记录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□无  □有，原因：</w:t>
            </w:r>
          </w:p>
          <w:p w:rsidR="006D2C32" w:rsidRPr="00F908E2" w:rsidRDefault="006D2C32" w:rsidP="00EE4236">
            <w:p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1.</w:t>
            </w:r>
          </w:p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□无  □有，原因：</w:t>
            </w:r>
          </w:p>
          <w:p w:rsidR="006D2C32" w:rsidRPr="00F908E2" w:rsidRDefault="006D2C32" w:rsidP="00EE4236">
            <w:p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1.</w:t>
            </w:r>
          </w:p>
          <w:p w:rsidR="006D2C32" w:rsidRPr="00F908E2" w:rsidRDefault="006D2C32" w:rsidP="00EE4236">
            <w:pPr>
              <w:rPr>
                <w:rFonts w:ascii="宋体" w:hAnsi="宋体"/>
                <w:szCs w:val="21"/>
                <w:u w:val="single"/>
              </w:rPr>
            </w:pPr>
            <w:r w:rsidRPr="00F908E2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6D2C32" w:rsidRPr="00F908E2" w:rsidTr="00EE4236">
        <w:trPr>
          <w:cantSplit/>
          <w:trHeight w:val="6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护士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D2C32" w:rsidRPr="00F908E2" w:rsidTr="00EE4236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医师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6D2C32" w:rsidRDefault="006D2C32" w:rsidP="006D2C32">
      <w:pPr>
        <w:ind w:firstLineChars="200" w:firstLine="420"/>
        <w:jc w:val="center"/>
        <w:rPr>
          <w:rFonts w:ascii="宋体" w:hAnsi="宋体" w:hint="eastAsia"/>
          <w:szCs w:val="21"/>
        </w:rPr>
      </w:pPr>
    </w:p>
    <w:p w:rsidR="006D2C32" w:rsidRPr="00F908E2" w:rsidRDefault="006D2C32" w:rsidP="006D2C32">
      <w:pPr>
        <w:ind w:firstLineChars="200" w:firstLine="420"/>
        <w:jc w:val="center"/>
        <w:rPr>
          <w:rFonts w:ascii="宋体" w:hAnsi="宋体" w:hint="eastAsia"/>
          <w:szCs w:val="21"/>
        </w:rPr>
      </w:pPr>
    </w:p>
    <w:tbl>
      <w:tblPr>
        <w:tblW w:w="898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066"/>
        <w:gridCol w:w="4151"/>
      </w:tblGrid>
      <w:tr w:rsidR="006D2C32" w:rsidRPr="00B17329" w:rsidTr="00EE4236">
        <w:trPr>
          <w:cantSplit/>
          <w:trHeight w:val="46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4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出院前1–3天</w:t>
            </w:r>
          </w:p>
        </w:tc>
        <w:tc>
          <w:tcPr>
            <w:tcW w:w="4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出院日</w:t>
            </w:r>
          </w:p>
        </w:tc>
      </w:tr>
      <w:tr w:rsidR="006D2C32" w:rsidRPr="00F908E2" w:rsidTr="00EE4236">
        <w:trPr>
          <w:cantSplit/>
          <w:trHeight w:val="625"/>
        </w:trPr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主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要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诊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疗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工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作</w:t>
            </w:r>
          </w:p>
        </w:tc>
        <w:tc>
          <w:tcPr>
            <w:tcW w:w="4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上级医师查房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评价治疗效果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确定出院后治疗方案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F908E2">
                <w:rPr>
                  <w:rFonts w:ascii="宋体" w:hAnsi="宋体" w:hint="eastAsia"/>
                  <w:szCs w:val="21"/>
                </w:rPr>
                <w:t>成上级</w:t>
              </w:r>
            </w:smartTag>
            <w:r w:rsidRPr="00F908E2">
              <w:rPr>
                <w:rFonts w:ascii="宋体" w:hAnsi="宋体" w:hint="eastAsia"/>
                <w:szCs w:val="21"/>
              </w:rPr>
              <w:t>医师查房记录</w:t>
            </w:r>
          </w:p>
        </w:tc>
        <w:tc>
          <w:tcPr>
            <w:tcW w:w="4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完成出院小结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向患者交代出院后注意事项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及时开始HAART（入院前未开始HAART者）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预约复诊日期（2-4周）</w:t>
            </w:r>
          </w:p>
        </w:tc>
      </w:tr>
      <w:tr w:rsidR="006D2C32" w:rsidRPr="00F908E2" w:rsidTr="00EE4236">
        <w:trPr>
          <w:cantSplit/>
          <w:trHeight w:val="6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重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点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医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嘱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rPr>
                <w:rFonts w:ascii="宋体" w:hAnsi="宋体"/>
                <w:b/>
                <w:szCs w:val="21"/>
              </w:rPr>
            </w:pPr>
            <w:r w:rsidRPr="00F908E2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传染病（血液、体液、呼吸）内科护理常规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二/三级护理常规（根据病情）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根据病情调整用药（</w:t>
            </w:r>
            <w:proofErr w:type="spellStart"/>
            <w:r w:rsidRPr="00F908E2">
              <w:rPr>
                <w:rFonts w:ascii="宋体" w:hAnsi="宋体" w:hint="eastAsia"/>
                <w:szCs w:val="21"/>
              </w:rPr>
              <w:t>SMZco</w:t>
            </w:r>
            <w:proofErr w:type="spellEnd"/>
            <w:r w:rsidRPr="00F908E2">
              <w:rPr>
                <w:rFonts w:ascii="宋体" w:hAnsi="宋体" w:hint="eastAsia"/>
                <w:szCs w:val="21"/>
              </w:rPr>
              <w:t>减量维持等）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祛痰剂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止咳药（必要时）</w:t>
            </w:r>
          </w:p>
          <w:p w:rsidR="006D2C32" w:rsidRPr="00F908E2" w:rsidRDefault="006D2C32" w:rsidP="00EE4236">
            <w:pPr>
              <w:rPr>
                <w:rFonts w:ascii="宋体" w:hAnsi="宋体" w:hint="eastAsia"/>
                <w:b/>
                <w:szCs w:val="21"/>
              </w:rPr>
            </w:pPr>
            <w:r w:rsidRPr="00F908E2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血常规、胸片检查（必要时）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根据需要，复查有关检查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rPr>
                <w:rFonts w:ascii="宋体" w:hAnsi="宋体"/>
                <w:b/>
                <w:szCs w:val="21"/>
              </w:rPr>
            </w:pPr>
            <w:r w:rsidRPr="00F908E2"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出院带药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门诊随诊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及时开始HAART或继续HAART</w:t>
            </w:r>
          </w:p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</w:p>
        </w:tc>
      </w:tr>
      <w:tr w:rsidR="006D2C32" w:rsidRPr="00F908E2" w:rsidTr="00EE4236">
        <w:trPr>
          <w:cantSplit/>
          <w:trHeight w:val="6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主要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护理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工作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观察患者一般情况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观察疗效、各种药物作用和副作用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恢复期生活和心理护理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出院准备指导</w:t>
            </w:r>
          </w:p>
          <w:p w:rsidR="006D2C32" w:rsidRPr="00F908E2" w:rsidRDefault="006D2C32" w:rsidP="00EE42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帮助患者办理出院手续</w:t>
            </w:r>
          </w:p>
          <w:p w:rsidR="006D2C32" w:rsidRPr="00F908E2" w:rsidRDefault="006D2C32" w:rsidP="006D2C32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出院指导</w:t>
            </w:r>
          </w:p>
        </w:tc>
      </w:tr>
      <w:tr w:rsidR="006D2C32" w:rsidRPr="00F908E2" w:rsidTr="00EE4236">
        <w:trPr>
          <w:cantSplit/>
          <w:trHeight w:val="3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病情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 w:hint="eastAsia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变异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记录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□无</w:t>
            </w:r>
            <w:r w:rsidRPr="00F908E2">
              <w:rPr>
                <w:rFonts w:ascii="宋体" w:hAnsi="宋体"/>
                <w:szCs w:val="21"/>
              </w:rPr>
              <w:t xml:space="preserve">  </w:t>
            </w:r>
            <w:r w:rsidRPr="00F908E2">
              <w:rPr>
                <w:rFonts w:ascii="宋体" w:hAnsi="宋体" w:hint="eastAsia"/>
                <w:szCs w:val="21"/>
              </w:rPr>
              <w:t>□有，原因：</w:t>
            </w:r>
          </w:p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/>
                <w:szCs w:val="21"/>
              </w:rPr>
              <w:t>1.</w:t>
            </w:r>
          </w:p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 w:hint="eastAsia"/>
                <w:szCs w:val="21"/>
              </w:rPr>
              <w:t>□无</w:t>
            </w:r>
            <w:r w:rsidRPr="00F908E2">
              <w:rPr>
                <w:rFonts w:ascii="宋体" w:hAnsi="宋体"/>
                <w:szCs w:val="21"/>
              </w:rPr>
              <w:t xml:space="preserve">  </w:t>
            </w:r>
            <w:r w:rsidRPr="00F908E2">
              <w:rPr>
                <w:rFonts w:ascii="宋体" w:hAnsi="宋体" w:hint="eastAsia"/>
                <w:szCs w:val="21"/>
              </w:rPr>
              <w:t>□有，原因：</w:t>
            </w:r>
          </w:p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/>
                <w:szCs w:val="21"/>
              </w:rPr>
              <w:t>1.</w:t>
            </w:r>
          </w:p>
          <w:p w:rsidR="006D2C32" w:rsidRPr="00F908E2" w:rsidRDefault="006D2C32" w:rsidP="00EE4236">
            <w:pPr>
              <w:rPr>
                <w:rFonts w:ascii="宋体" w:hAnsi="宋体"/>
                <w:szCs w:val="21"/>
              </w:rPr>
            </w:pPr>
            <w:r w:rsidRPr="00F908E2">
              <w:rPr>
                <w:rFonts w:ascii="宋体" w:hAnsi="宋体"/>
                <w:szCs w:val="21"/>
              </w:rPr>
              <w:t>2.</w:t>
            </w:r>
          </w:p>
        </w:tc>
      </w:tr>
      <w:tr w:rsidR="006D2C32" w:rsidRPr="00F908E2" w:rsidTr="00EE4236">
        <w:trPr>
          <w:cantSplit/>
          <w:trHeight w:val="63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护士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6D2C32" w:rsidRPr="00F908E2" w:rsidTr="00EE4236">
        <w:trPr>
          <w:trHeight w:val="6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医师</w:t>
            </w:r>
          </w:p>
          <w:p w:rsidR="006D2C32" w:rsidRPr="00B17329" w:rsidRDefault="006D2C32" w:rsidP="00EE4236">
            <w:pPr>
              <w:jc w:val="center"/>
              <w:rPr>
                <w:rFonts w:ascii="黑体" w:eastAsia="黑体" w:hAnsi="宋体"/>
                <w:szCs w:val="21"/>
              </w:rPr>
            </w:pPr>
            <w:r w:rsidRPr="00B17329">
              <w:rPr>
                <w:rFonts w:ascii="黑体" w:eastAsia="黑体" w:hAnsi="宋体" w:hint="eastAsia"/>
                <w:szCs w:val="21"/>
              </w:rPr>
              <w:t>签名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32" w:rsidRPr="00F908E2" w:rsidRDefault="006D2C32" w:rsidP="00EE4236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6D2C32" w:rsidRDefault="006D2C32" w:rsidP="006D2C32">
      <w:pPr>
        <w:ind w:firstLineChars="200" w:firstLine="420"/>
      </w:pPr>
    </w:p>
    <w:p w:rsidR="006D2C32" w:rsidRDefault="006D2C32" w:rsidP="006D2C32">
      <w:pPr>
        <w:rPr>
          <w:rFonts w:hint="eastAsia"/>
        </w:rPr>
      </w:pPr>
    </w:p>
    <w:p w:rsidR="006D2C32" w:rsidRDefault="006D2C32" w:rsidP="006D2C32">
      <w:pPr>
        <w:adjustRightInd w:val="0"/>
        <w:snapToGrid w:val="0"/>
        <w:spacing w:line="360" w:lineRule="auto"/>
        <w:outlineLvl w:val="0"/>
        <w:rPr>
          <w:rFonts w:ascii="黑体" w:eastAsia="黑体" w:hint="eastAsia"/>
          <w:color w:val="000000"/>
          <w:sz w:val="32"/>
          <w:szCs w:val="32"/>
        </w:rPr>
      </w:pPr>
    </w:p>
    <w:p w:rsidR="0066708F" w:rsidRDefault="0066708F"/>
    <w:sectPr w:rsidR="0066708F" w:rsidSect="00667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41D"/>
    <w:multiLevelType w:val="hybridMultilevel"/>
    <w:tmpl w:val="EE3E5DC4"/>
    <w:lvl w:ilvl="0" w:tplc="85CC4A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69E14A5"/>
    <w:multiLevelType w:val="hybridMultilevel"/>
    <w:tmpl w:val="7382A9AC"/>
    <w:lvl w:ilvl="0" w:tplc="85CC4A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2C32"/>
    <w:rsid w:val="0066708F"/>
    <w:rsid w:val="006D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6D2C32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2017-03-07T05:33:00Z</dcterms:created>
  <dcterms:modified xsi:type="dcterms:W3CDTF">2017-03-07T05:34:00Z</dcterms:modified>
</cp:coreProperties>
</file>