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74" w:rsidRDefault="00302274" w:rsidP="00302274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自身免疫性溶血性贫血临床路径 </w:t>
      </w:r>
    </w:p>
    <w:p w:rsidR="00302274" w:rsidRPr="0027769F" w:rsidRDefault="00302274" w:rsidP="00302274">
      <w:pPr>
        <w:spacing w:line="360" w:lineRule="auto"/>
        <w:jc w:val="center"/>
        <w:rPr>
          <w:rFonts w:ascii="仿宋_GB2312" w:eastAsia="仿宋_GB2312" w:hAnsi="楷体_GB2312"/>
          <w:color w:val="000000"/>
          <w:sz w:val="32"/>
          <w:szCs w:val="32"/>
        </w:rPr>
      </w:pPr>
      <w:r w:rsidRPr="0027769F">
        <w:rPr>
          <w:rFonts w:ascii="仿宋_GB2312" w:eastAsia="仿宋_GB2312" w:hAnsi="楷体_GB2312" w:hint="eastAsia"/>
          <w:color w:val="000000"/>
          <w:sz w:val="32"/>
          <w:szCs w:val="32"/>
        </w:rPr>
        <w:t>（2010年版）</w:t>
      </w:r>
    </w:p>
    <w:p w:rsidR="00302274" w:rsidRDefault="00302274" w:rsidP="00302274">
      <w:pPr>
        <w:spacing w:line="360" w:lineRule="auto"/>
        <w:jc w:val="center"/>
        <w:rPr>
          <w:rFonts w:ascii="楷体_GB2312" w:eastAsia="楷体_GB2312" w:hAnsi="楷体_GB2312"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一、自身免疫性溶血性贫血临床路径标准住院流程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（一）适用对象。</w:t>
      </w:r>
    </w:p>
    <w:p w:rsidR="00302274" w:rsidRPr="00FC732D" w:rsidRDefault="00302274" w:rsidP="00302274">
      <w:pPr>
        <w:wordWrap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C732D">
        <w:rPr>
          <w:rFonts w:ascii="仿宋_GB2312" w:eastAsia="仿宋_GB2312" w:hAnsi="宋体" w:hint="eastAsia"/>
          <w:color w:val="000000"/>
          <w:sz w:val="32"/>
          <w:szCs w:val="32"/>
        </w:rPr>
        <w:t>1.第一诊断为自身免疫性溶血性贫血</w:t>
      </w:r>
      <w:r w:rsidRPr="00FC732D">
        <w:rPr>
          <w:rFonts w:ascii="仿宋_GB2312" w:eastAsia="仿宋_GB2312" w:hAnsi="宋体" w:hint="eastAsia"/>
          <w:color w:val="000000"/>
          <w:spacing w:val="-20"/>
          <w:sz w:val="32"/>
          <w:szCs w:val="32"/>
        </w:rPr>
        <w:t>（ICD</w:t>
      </w:r>
      <w:r w:rsidRPr="00FC732D">
        <w:rPr>
          <w:rFonts w:ascii="宋体" w:hAnsi="宋体" w:cs="宋体" w:hint="eastAsia"/>
          <w:color w:val="000000"/>
          <w:spacing w:val="-20"/>
          <w:sz w:val="32"/>
          <w:szCs w:val="32"/>
        </w:rPr>
        <w:t>–</w:t>
      </w:r>
      <w:r w:rsidRPr="00FC732D">
        <w:rPr>
          <w:rFonts w:ascii="仿宋_GB2312" w:eastAsia="仿宋_GB2312" w:hAnsi="宋体" w:hint="eastAsia"/>
          <w:color w:val="000000"/>
          <w:spacing w:val="-20"/>
          <w:sz w:val="32"/>
          <w:szCs w:val="32"/>
        </w:rPr>
        <w:t>10.D59.102）。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2.1月≤年龄&lt;18岁。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3.温抗体型。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4.免疫性。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（二）诊断依据。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根据《血液病诊断和疗效标准》（张之南、沈悌主编，科学出版社，2008年，第三版）、</w:t>
      </w:r>
      <w:r>
        <w:rPr>
          <w:rFonts w:ascii="仿宋_GB2312" w:eastAsia="仿宋_GB2312" w:hAnsi="宋体" w:hint="eastAsia"/>
          <w:sz w:val="32"/>
          <w:szCs w:val="32"/>
        </w:rPr>
        <w:t>《诸福棠实用儿科学（第七版）》（人民卫生出版社）、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《临床诊疗指南</w:t>
      </w:r>
      <w:r>
        <w:rPr>
          <w:rFonts w:ascii="宋体" w:hAnsi="宋体" w:cs="宋体" w:hint="eastAsia"/>
          <w:color w:val="000000"/>
          <w:sz w:val="32"/>
          <w:szCs w:val="32"/>
        </w:rPr>
        <w:t>–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血液病学分册》（中华医学会编著，人民卫生出版社）。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1.病史。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2.临床表现：贫血、肝脾肿大、黄疸、血红蛋白尿。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3.血常规:贫血程度不一。外周血涂片可见数量不等球形红细胞、幼红细胞或红细胞碎片，网织红细胞增多。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pacing w:val="-11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4.骨髓检查呈幼红细胞增生象，</w:t>
      </w:r>
      <w:r>
        <w:rPr>
          <w:rFonts w:ascii="仿宋_GB2312" w:eastAsia="仿宋_GB2312" w:hAnsi="仿宋_GB2312" w:hint="eastAsia"/>
          <w:color w:val="000000"/>
          <w:spacing w:val="-11"/>
          <w:sz w:val="32"/>
          <w:szCs w:val="32"/>
        </w:rPr>
        <w:t>偶见红细胞轻度巨幼变。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5.再生危象时，血象呈全血细胞减少,网织红细胞减少,骨髓象呈增生减低。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6.抗球蛋白试验直接试验阳性,主要为抗IgG和抗补体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C3型,偶有抗IgA型；间接试验可阳性或阴性。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（三）治疗方案的选择。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根据《诸福棠实用儿科学（第七版）》（人民卫生出版社）、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《临床诊疗指南</w:t>
      </w:r>
      <w:r>
        <w:rPr>
          <w:rFonts w:ascii="宋体" w:hAnsi="宋体" w:cs="宋体" w:hint="eastAsia"/>
          <w:color w:val="000000"/>
          <w:sz w:val="32"/>
          <w:szCs w:val="32"/>
        </w:rPr>
        <w:t>–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血液病学分册》（中华医学会编著，人民卫生出版社）。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1.糖皮质激素作为首选治疗：可常规剂量或短疗程大剂量给药。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2.红细胞输注：严重贫血或出现缺氧症状需要输红细胞。尽可能使用洗涤红细胞。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3.静脉输注丙种球蛋白：对糖皮质激素效果差者。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（四）标准住院日为14天内。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（五）进入路径标准。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1.第一诊断必须符合ICD-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.D59.102自身免疫性溶血性贫血(AIHA)疾病编码，且1月≤年龄&lt;18岁。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2.血液检查指标符合需要住院指征：血红蛋白&lt;</w:t>
      </w:r>
      <w:smartTag w:uri="urn:schemas-microsoft-com:office:smarttags" w:element="chmetcnv">
        <w:smartTagPr>
          <w:attr w:name="UnitName" w:val="g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hint="eastAsia"/>
            <w:color w:val="000000"/>
            <w:sz w:val="32"/>
            <w:szCs w:val="32"/>
          </w:rPr>
          <w:t>70g</w:t>
        </w:r>
      </w:smartTag>
      <w:r>
        <w:rPr>
          <w:rFonts w:ascii="仿宋_GB2312" w:eastAsia="仿宋_GB2312" w:hAnsi="宋体" w:hint="eastAsia"/>
          <w:color w:val="000000"/>
          <w:sz w:val="32"/>
          <w:szCs w:val="32"/>
        </w:rPr>
        <w:t>/L，或伴有明显缺氧症状，或血红蛋白下降过快。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3.当患者同时具有其他疾病诊断，但在住院期间不需要特殊处理，也不影响第一诊断的临床路径流程实施时，可以进入路径。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（六）明确诊断及入院常规检查需2－3天（工作日）。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1.必需的检查项目：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（1）血常规（包括网织红细胞计数）、尿常规、大便常规+隐血；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（2）抗球蛋白试验、冷凝集素试验；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（3）肝肾功能、电解质、凝血功能、溶血全套、输血前检查、血沉、血涂片、血型、自身免疫疾病筛查。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2.根据患者情况可选择的检查项目：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（1）感染相关病原检查；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（2）相关影像学检查；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（3）骨髓形态学检查。</w:t>
      </w:r>
    </w:p>
    <w:p w:rsidR="00302274" w:rsidRDefault="00302274" w:rsidP="00302274">
      <w:pPr>
        <w:adjustRightInd w:val="0"/>
        <w:snapToGrid w:val="0"/>
        <w:spacing w:line="360" w:lineRule="auto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（七）治疗开始于诊断第1天。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（八）治疗方案与药物选择。</w:t>
      </w:r>
    </w:p>
    <w:p w:rsidR="00302274" w:rsidRPr="00D5135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1354">
        <w:rPr>
          <w:rFonts w:ascii="仿宋_GB2312" w:eastAsia="仿宋_GB2312" w:hAnsi="宋体" w:hint="eastAsia"/>
          <w:sz w:val="32"/>
          <w:szCs w:val="32"/>
        </w:rPr>
        <w:t>1.糖皮质激素作为首选治疗：注意观察皮质激素的副作用并对症处理。</w:t>
      </w:r>
    </w:p>
    <w:p w:rsidR="00302274" w:rsidRPr="00D5135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1354">
        <w:rPr>
          <w:rFonts w:ascii="仿宋_GB2312" w:eastAsia="仿宋_GB2312" w:hAnsi="宋体" w:hint="eastAsia"/>
          <w:sz w:val="32"/>
          <w:szCs w:val="32"/>
        </w:rPr>
        <w:t>（1）常规剂量：泼尼松1</w:t>
      </w:r>
      <w:r w:rsidRPr="00D51354">
        <w:rPr>
          <w:rFonts w:ascii="宋体" w:hAnsi="宋体" w:cs="宋体" w:hint="eastAsia"/>
          <w:sz w:val="32"/>
          <w:szCs w:val="32"/>
        </w:rPr>
        <w:t>–</w:t>
      </w:r>
      <w:r w:rsidRPr="00D51354">
        <w:rPr>
          <w:rFonts w:ascii="仿宋_GB2312" w:eastAsia="仿宋_GB2312" w:hAnsi="宋体" w:hint="eastAsia"/>
          <w:sz w:val="32"/>
          <w:szCs w:val="32"/>
        </w:rPr>
        <w:t>2mg/Kg/d，分次口服，用药2</w:t>
      </w:r>
      <w:r w:rsidRPr="00D51354">
        <w:rPr>
          <w:rFonts w:ascii="宋体" w:hAnsi="宋体" w:cs="宋体" w:hint="eastAsia"/>
          <w:sz w:val="32"/>
          <w:szCs w:val="32"/>
        </w:rPr>
        <w:t>–</w:t>
      </w:r>
      <w:r w:rsidRPr="00D51354">
        <w:rPr>
          <w:rFonts w:ascii="仿宋_GB2312" w:eastAsia="仿宋_GB2312" w:hAnsi="宋体" w:hint="eastAsia"/>
          <w:sz w:val="32"/>
          <w:szCs w:val="32"/>
        </w:rPr>
        <w:t>4周后，逐渐减停。</w:t>
      </w:r>
    </w:p>
    <w:p w:rsidR="00302274" w:rsidRPr="00D5135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1354">
        <w:rPr>
          <w:rFonts w:ascii="仿宋_GB2312" w:eastAsia="仿宋_GB2312" w:hAnsi="宋体" w:hint="eastAsia"/>
          <w:sz w:val="32"/>
          <w:szCs w:val="32"/>
        </w:rPr>
        <w:t>（2）短疗程大剂量给药：甲基泼尼松龙15</w:t>
      </w:r>
      <w:r w:rsidRPr="00D51354">
        <w:rPr>
          <w:rFonts w:ascii="宋体" w:hAnsi="宋体" w:cs="宋体" w:hint="eastAsia"/>
          <w:sz w:val="32"/>
          <w:szCs w:val="32"/>
        </w:rPr>
        <w:t>–</w:t>
      </w:r>
      <w:r w:rsidRPr="00D51354">
        <w:rPr>
          <w:rFonts w:ascii="仿宋_GB2312" w:eastAsia="仿宋_GB2312" w:hAnsi="宋体" w:hint="eastAsia"/>
          <w:sz w:val="32"/>
          <w:szCs w:val="32"/>
        </w:rPr>
        <w:t>30 mg/Kg/d</w:t>
      </w:r>
      <w:r w:rsidRPr="00D51354">
        <w:rPr>
          <w:rFonts w:hint="eastAsia"/>
        </w:rPr>
        <w:t>，</w:t>
      </w:r>
      <w:r w:rsidRPr="00D51354">
        <w:rPr>
          <w:rFonts w:ascii="仿宋_GB2312" w:eastAsia="仿宋_GB2312" w:hAnsi="宋体" w:hint="eastAsia"/>
          <w:sz w:val="32"/>
          <w:szCs w:val="32"/>
        </w:rPr>
        <w:t>或地塞米松0.5</w:t>
      </w:r>
      <w:r w:rsidRPr="00D51354">
        <w:rPr>
          <w:rFonts w:ascii="宋体" w:hAnsi="宋体" w:cs="宋体" w:hint="eastAsia"/>
          <w:sz w:val="32"/>
          <w:szCs w:val="32"/>
        </w:rPr>
        <w:t>–</w:t>
      </w:r>
      <w:r w:rsidRPr="00D51354">
        <w:rPr>
          <w:rFonts w:ascii="仿宋_GB2312" w:eastAsia="仿宋_GB2312" w:hAnsi="宋体" w:hint="eastAsia"/>
          <w:sz w:val="32"/>
          <w:szCs w:val="32"/>
        </w:rPr>
        <w:t>1.0mg/kg/d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D51354">
        <w:rPr>
          <w:rFonts w:ascii="仿宋_GB2312" w:eastAsia="仿宋_GB2312" w:hAnsi="宋体" w:hint="eastAsia"/>
          <w:sz w:val="32"/>
          <w:szCs w:val="32"/>
        </w:rPr>
        <w:t>×3</w:t>
      </w:r>
      <w:r w:rsidRPr="00D51354">
        <w:rPr>
          <w:rFonts w:ascii="宋体" w:hAnsi="宋体" w:cs="宋体" w:hint="eastAsia"/>
          <w:sz w:val="32"/>
          <w:szCs w:val="32"/>
        </w:rPr>
        <w:t>–</w:t>
      </w:r>
      <w:r w:rsidRPr="00D51354">
        <w:rPr>
          <w:rFonts w:ascii="仿宋_GB2312" w:eastAsia="仿宋_GB2312" w:hAnsi="宋体" w:hint="eastAsia"/>
          <w:sz w:val="32"/>
          <w:szCs w:val="32"/>
        </w:rPr>
        <w:t>5d后，减量或停药。</w:t>
      </w:r>
    </w:p>
    <w:p w:rsidR="00302274" w:rsidRPr="00D5135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/>
          <w:spacing w:val="-20"/>
          <w:sz w:val="32"/>
          <w:szCs w:val="32"/>
        </w:rPr>
      </w:pPr>
      <w:r w:rsidRPr="00D51354">
        <w:rPr>
          <w:rFonts w:ascii="仿宋_GB2312" w:eastAsia="仿宋_GB2312" w:hAnsi="宋体" w:hint="eastAsia"/>
          <w:sz w:val="32"/>
          <w:szCs w:val="32"/>
        </w:rPr>
        <w:t>2.红细胞输注：</w:t>
      </w:r>
      <w:r w:rsidRPr="00D51354">
        <w:rPr>
          <w:rFonts w:ascii="仿宋_GB2312" w:eastAsia="仿宋_GB2312" w:hAnsi="仿宋_GB2312" w:hint="eastAsia"/>
          <w:spacing w:val="-20"/>
          <w:sz w:val="32"/>
          <w:szCs w:val="32"/>
        </w:rPr>
        <w:t>尽可能输洗涤红细胞，10ml</w:t>
      </w:r>
      <w:r w:rsidRPr="00D51354">
        <w:rPr>
          <w:rFonts w:ascii="宋体" w:hAnsi="宋体" w:cs="宋体" w:hint="eastAsia"/>
          <w:sz w:val="32"/>
          <w:szCs w:val="32"/>
        </w:rPr>
        <w:t>–</w:t>
      </w:r>
      <w:r w:rsidRPr="00D51354">
        <w:rPr>
          <w:rFonts w:ascii="仿宋_GB2312" w:eastAsia="仿宋_GB2312" w:hAnsi="仿宋_GB2312" w:hint="eastAsia"/>
          <w:spacing w:val="-20"/>
          <w:sz w:val="32"/>
          <w:szCs w:val="32"/>
        </w:rPr>
        <w:t>15ml/Kg</w:t>
      </w:r>
      <w:r>
        <w:rPr>
          <w:rFonts w:ascii="仿宋_GB2312" w:eastAsia="仿宋_GB2312" w:hAnsi="仿宋_GB2312" w:hint="eastAsia"/>
          <w:spacing w:val="-20"/>
          <w:sz w:val="32"/>
          <w:szCs w:val="32"/>
        </w:rPr>
        <w:t>/</w:t>
      </w:r>
      <w:r w:rsidRPr="00D51354">
        <w:rPr>
          <w:rFonts w:ascii="仿宋_GB2312" w:eastAsia="仿宋_GB2312" w:hAnsi="仿宋_GB2312" w:hint="eastAsia"/>
          <w:spacing w:val="-20"/>
          <w:sz w:val="32"/>
          <w:szCs w:val="32"/>
        </w:rPr>
        <w:t>次。</w:t>
      </w:r>
    </w:p>
    <w:p w:rsidR="00302274" w:rsidRPr="00D5135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1354">
        <w:rPr>
          <w:rFonts w:ascii="仿宋_GB2312" w:eastAsia="仿宋_GB2312" w:hAnsi="宋体" w:hint="eastAsia"/>
          <w:sz w:val="32"/>
          <w:szCs w:val="32"/>
        </w:rPr>
        <w:t>3.静脉输注丙种球蛋白：</w:t>
      </w:r>
      <w:smartTag w:uri="urn:schemas-microsoft-com:office:smarttags" w:element="chmetcnv">
        <w:smartTagPr>
          <w:attr w:name="UnitName" w:val="g"/>
          <w:attr w:name="SourceValue" w:val="0.4"/>
          <w:attr w:name="HasSpace" w:val="False"/>
          <w:attr w:name="Negative" w:val="False"/>
          <w:attr w:name="NumberType" w:val="1"/>
          <w:attr w:name="TCSC" w:val="0"/>
        </w:smartTagPr>
        <w:r w:rsidRPr="00D51354">
          <w:rPr>
            <w:rFonts w:ascii="仿宋_GB2312" w:eastAsia="仿宋_GB2312" w:hAnsi="宋体" w:hint="eastAsia"/>
            <w:sz w:val="32"/>
            <w:szCs w:val="32"/>
          </w:rPr>
          <w:t>0.4g</w:t>
        </w:r>
      </w:smartTag>
      <w:r w:rsidRPr="00D51354">
        <w:rPr>
          <w:rFonts w:ascii="宋体" w:hAnsi="宋体" w:cs="宋体" w:hint="eastAsia"/>
          <w:sz w:val="32"/>
          <w:szCs w:val="32"/>
        </w:rPr>
        <w:t>–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51354">
          <w:rPr>
            <w:rFonts w:ascii="仿宋_GB2312" w:eastAsia="仿宋_GB2312" w:hAnsi="宋体" w:hint="eastAsia"/>
            <w:sz w:val="32"/>
            <w:szCs w:val="32"/>
          </w:rPr>
          <w:t>2.0g</w:t>
        </w:r>
      </w:smartTag>
      <w:r w:rsidRPr="00D51354">
        <w:rPr>
          <w:rFonts w:ascii="仿宋_GB2312" w:eastAsia="仿宋_GB2312" w:hAnsi="宋体" w:hint="eastAsia"/>
          <w:sz w:val="32"/>
          <w:szCs w:val="32"/>
        </w:rPr>
        <w:t>/Kg/d×1</w:t>
      </w:r>
      <w:r w:rsidRPr="00D51354">
        <w:rPr>
          <w:rFonts w:ascii="宋体" w:hAnsi="宋体" w:cs="宋体" w:hint="eastAsia"/>
          <w:sz w:val="32"/>
          <w:szCs w:val="32"/>
        </w:rPr>
        <w:t>–</w:t>
      </w:r>
      <w:r w:rsidRPr="00D51354">
        <w:rPr>
          <w:rFonts w:ascii="仿宋_GB2312" w:eastAsia="仿宋_GB2312" w:hAnsi="宋体" w:hint="eastAsia"/>
          <w:sz w:val="32"/>
          <w:szCs w:val="32"/>
        </w:rPr>
        <w:t>5d，激素效果不佳时使用或病情严重时合并使用。</w:t>
      </w:r>
    </w:p>
    <w:p w:rsidR="00302274" w:rsidRPr="00D5135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1354">
        <w:rPr>
          <w:rFonts w:ascii="仿宋_GB2312" w:eastAsia="仿宋_GB2312" w:hAnsi="宋体" w:hint="eastAsia"/>
          <w:sz w:val="32"/>
          <w:szCs w:val="32"/>
        </w:rPr>
        <w:t>4.极其严重或激素、丙种球蛋白效差的病例可考虑环孢素或其他免疫抑制剂（如环磷酰胺）治疗。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lastRenderedPageBreak/>
        <w:t>（九）出院标准。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不输红细胞情况下，血红蛋白≥</w:t>
      </w:r>
      <w:smartTag w:uri="urn:schemas-microsoft-com:office:smarttags" w:element="chmetcnv">
        <w:smartTagPr>
          <w:attr w:name="UnitName" w:val="g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hint="eastAsia"/>
            <w:color w:val="000000"/>
            <w:sz w:val="32"/>
            <w:szCs w:val="32"/>
          </w:rPr>
          <w:t>70g</w:t>
        </w:r>
      </w:smartTag>
      <w:r>
        <w:rPr>
          <w:rFonts w:ascii="仿宋_GB2312" w:eastAsia="仿宋_GB2312" w:hAnsi="宋体" w:hint="eastAsia"/>
          <w:color w:val="000000"/>
          <w:sz w:val="32"/>
          <w:szCs w:val="32"/>
        </w:rPr>
        <w:t>/L且无缺氧症状，并且持续3天以上。</w:t>
      </w:r>
    </w:p>
    <w:p w:rsidR="00302274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（十）变异及原因分析。</w:t>
      </w:r>
    </w:p>
    <w:p w:rsidR="00302274" w:rsidRPr="00BB2A91" w:rsidRDefault="00302274" w:rsidP="0030227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</w:t>
      </w:r>
      <w:r w:rsidRPr="00BB2A91">
        <w:rPr>
          <w:rFonts w:ascii="仿宋_GB2312" w:eastAsia="仿宋_GB2312" w:hAnsi="宋体" w:hint="eastAsia"/>
          <w:color w:val="000000"/>
          <w:sz w:val="32"/>
          <w:szCs w:val="32"/>
        </w:rPr>
        <w:t>经治疗后，血红蛋白&lt;</w:t>
      </w:r>
      <w:smartTag w:uri="urn:schemas-microsoft-com:office:smarttags" w:element="chmetcnv">
        <w:smartTagPr>
          <w:attr w:name="UnitName" w:val="g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Pr="00BB2A91">
          <w:rPr>
            <w:rFonts w:ascii="仿宋_GB2312" w:eastAsia="仿宋_GB2312" w:hAnsi="宋体" w:hint="eastAsia"/>
            <w:color w:val="000000"/>
            <w:sz w:val="32"/>
            <w:szCs w:val="32"/>
          </w:rPr>
          <w:t>70g</w:t>
        </w:r>
      </w:smartTag>
      <w:r w:rsidRPr="00BB2A91">
        <w:rPr>
          <w:rFonts w:ascii="仿宋_GB2312" w:eastAsia="仿宋_GB2312" w:hAnsi="宋体" w:hint="eastAsia"/>
          <w:color w:val="000000"/>
          <w:sz w:val="32"/>
          <w:szCs w:val="32"/>
        </w:rPr>
        <w:t>/L并大于2周，退出该路径。</w:t>
      </w:r>
    </w:p>
    <w:p w:rsidR="00302274" w:rsidRPr="00BB2A91" w:rsidRDefault="00302274" w:rsidP="00302274">
      <w:pPr>
        <w:adjustRightInd w:val="0"/>
        <w:snapToGrid w:val="0"/>
        <w:spacing w:line="360" w:lineRule="auto"/>
        <w:ind w:firstLineChars="200" w:firstLine="612"/>
        <w:rPr>
          <w:rFonts w:ascii="仿宋_GB2312" w:eastAsia="仿宋_GB2312" w:hAnsi="宋体"/>
          <w:color w:val="000000"/>
          <w:spacing w:val="-7"/>
          <w:sz w:val="32"/>
          <w:szCs w:val="32"/>
        </w:rPr>
      </w:pPr>
      <w:r w:rsidRPr="00BB2A91">
        <w:rPr>
          <w:rFonts w:ascii="仿宋_GB2312" w:eastAsia="仿宋_GB2312" w:hAnsi="宋体" w:hint="eastAsia"/>
          <w:color w:val="000000"/>
          <w:spacing w:val="-7"/>
          <w:sz w:val="32"/>
          <w:szCs w:val="32"/>
        </w:rPr>
        <w:t>2.治疗过程中出现溶血危象或再生障碍危象，退出该路径。</w:t>
      </w:r>
    </w:p>
    <w:p w:rsidR="00302274" w:rsidRPr="00BB2A91" w:rsidRDefault="00302274" w:rsidP="00302274">
      <w:pPr>
        <w:adjustRightInd w:val="0"/>
        <w:snapToGrid w:val="0"/>
        <w:spacing w:line="360" w:lineRule="auto"/>
        <w:ind w:firstLineChars="200" w:firstLine="612"/>
        <w:rPr>
          <w:rFonts w:ascii="仿宋_GB2312" w:eastAsia="仿宋_GB2312" w:hAnsi="宋体"/>
          <w:color w:val="000000"/>
          <w:spacing w:val="-7"/>
          <w:sz w:val="32"/>
          <w:szCs w:val="32"/>
        </w:rPr>
      </w:pPr>
      <w:r w:rsidRPr="00BB2A91">
        <w:rPr>
          <w:rFonts w:ascii="仿宋_GB2312" w:eastAsia="仿宋_GB2312" w:hAnsi="宋体" w:hint="eastAsia"/>
          <w:color w:val="000000"/>
          <w:spacing w:val="-7"/>
          <w:sz w:val="32"/>
          <w:szCs w:val="32"/>
        </w:rPr>
        <w:t>3.最终诊断冷抗体型自身免疫性溶血性贫血，退出该路径。</w:t>
      </w:r>
    </w:p>
    <w:p w:rsidR="00302274" w:rsidRPr="00BB2A91" w:rsidRDefault="00302274" w:rsidP="00302274">
      <w:pPr>
        <w:adjustRightInd w:val="0"/>
        <w:snapToGrid w:val="0"/>
        <w:spacing w:line="360" w:lineRule="auto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BB2A91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4.最终诊断继发性自身免疫性溶血性贫血，退出该路径。</w:t>
      </w:r>
    </w:p>
    <w:p w:rsidR="00302274" w:rsidRPr="00BB2A91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仿宋_GB2312" w:eastAsia="仿宋_GB2312" w:hAnsi="宋体"/>
          <w:color w:val="000000"/>
          <w:sz w:val="32"/>
          <w:szCs w:val="32"/>
        </w:rPr>
      </w:pPr>
    </w:p>
    <w:p w:rsidR="00302274" w:rsidRPr="00BB2A91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仿宋_GB2312" w:eastAsia="仿宋_GB2312" w:hAnsi="宋体"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firstLineChars="257" w:firstLine="822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Pr="00635652" w:rsidRDefault="00302274" w:rsidP="00302274">
      <w:pPr>
        <w:adjustRightInd w:val="0"/>
        <w:snapToGrid w:val="0"/>
        <w:spacing w:line="360" w:lineRule="auto"/>
        <w:rPr>
          <w:rFonts w:ascii="黑体" w:eastAsia="黑体" w:hAnsi="宋体"/>
          <w:bCs/>
          <w:color w:val="000000"/>
          <w:sz w:val="32"/>
          <w:szCs w:val="32"/>
        </w:rPr>
      </w:pPr>
    </w:p>
    <w:p w:rsidR="00302274" w:rsidRDefault="00302274" w:rsidP="00302274">
      <w:pPr>
        <w:adjustRightInd w:val="0"/>
        <w:snapToGrid w:val="0"/>
        <w:spacing w:line="360" w:lineRule="auto"/>
        <w:ind w:rightChars="-149" w:right="-313" w:firstLineChars="200" w:firstLine="640"/>
        <w:rPr>
          <w:rFonts w:ascii="黑体" w:eastAsia="黑体" w:hAnsi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lastRenderedPageBreak/>
        <w:br w:type="page"/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bCs/>
          <w:color w:val="000000"/>
          <w:spacing w:val="-20"/>
          <w:sz w:val="32"/>
          <w:szCs w:val="32"/>
        </w:rPr>
        <w:t>自身免疫性溶血性贫血临床路径表单(温抗体型、免疫性)</w:t>
      </w:r>
    </w:p>
    <w:p w:rsidR="00302274" w:rsidRDefault="00302274" w:rsidP="00302274">
      <w:pPr>
        <w:snapToGrid w:val="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适用对象：</w:t>
      </w:r>
      <w:r>
        <w:rPr>
          <w:rFonts w:ascii="宋体" w:hAnsi="宋体"/>
          <w:b/>
          <w:color w:val="000000"/>
          <w:szCs w:val="21"/>
        </w:rPr>
        <w:t>第一诊断</w:t>
      </w:r>
      <w:r>
        <w:rPr>
          <w:rFonts w:ascii="宋体" w:hAnsi="宋体" w:hint="eastAsia"/>
          <w:b/>
          <w:color w:val="000000"/>
          <w:szCs w:val="21"/>
        </w:rPr>
        <w:t>为</w:t>
      </w:r>
      <w:r>
        <w:rPr>
          <w:rFonts w:ascii="宋体" w:hAnsi="宋体" w:hint="eastAsia"/>
          <w:bCs/>
          <w:color w:val="000000"/>
          <w:szCs w:val="21"/>
        </w:rPr>
        <w:t>自身免疫性溶血性贫血</w:t>
      </w:r>
      <w:r>
        <w:rPr>
          <w:rFonts w:ascii="宋体" w:hAnsi="宋体"/>
          <w:color w:val="000000"/>
          <w:szCs w:val="21"/>
        </w:rPr>
        <w:t>（ICD</w:t>
      </w:r>
      <w:r>
        <w:rPr>
          <w:rFonts w:ascii="宋体" w:hAnsi="宋体" w:hint="eastAsia"/>
          <w:color w:val="000000"/>
          <w:szCs w:val="21"/>
        </w:rPr>
        <w:t>-10：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hint="eastAsia"/>
          <w:color w:val="000000"/>
          <w:szCs w:val="21"/>
        </w:rPr>
        <w:t>59.102</w:t>
      </w:r>
      <w:r>
        <w:rPr>
          <w:rFonts w:ascii="宋体" w:hAnsi="宋体"/>
          <w:color w:val="000000"/>
          <w:szCs w:val="21"/>
        </w:rPr>
        <w:t>）</w:t>
      </w:r>
    </w:p>
    <w:p w:rsidR="00302274" w:rsidRDefault="00302274" w:rsidP="00302274">
      <w:pPr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/>
          <w:color w:val="000000"/>
          <w:szCs w:val="21"/>
        </w:rPr>
        <w:t>患者姓名：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性别：</w:t>
      </w:r>
      <w:r>
        <w:rPr>
          <w:rFonts w:ascii="宋体" w:hAnsi="宋体"/>
          <w:color w:val="000000"/>
          <w:szCs w:val="21"/>
          <w:u w:val="single"/>
        </w:rPr>
        <w:tab/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/>
          <w:color w:val="000000"/>
          <w:szCs w:val="21"/>
        </w:rPr>
        <w:t>年龄：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/>
          <w:color w:val="000000"/>
          <w:szCs w:val="21"/>
        </w:rPr>
        <w:t>门诊号：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住院号：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</w:t>
      </w:r>
    </w:p>
    <w:p w:rsidR="00302274" w:rsidRDefault="00302274" w:rsidP="00302274">
      <w:pPr>
        <w:spacing w:afterLines="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住院日期：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/>
          <w:color w:val="000000"/>
          <w:szCs w:val="21"/>
        </w:rPr>
        <w:t>日   出院日期：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/>
          <w:color w:val="000000"/>
          <w:szCs w:val="21"/>
        </w:rPr>
        <w:t>日  标准住院日</w:t>
      </w:r>
      <w:r>
        <w:rPr>
          <w:rFonts w:ascii="宋体" w:hAnsi="宋体" w:hint="eastAsia"/>
          <w:color w:val="000000"/>
          <w:szCs w:val="21"/>
        </w:rPr>
        <w:t>：14</w:t>
      </w:r>
      <w:r>
        <w:rPr>
          <w:rFonts w:ascii="宋体" w:hAnsi="宋体"/>
          <w:color w:val="000000"/>
          <w:szCs w:val="21"/>
        </w:rPr>
        <w:t xml:space="preserve"> 天</w:t>
      </w:r>
      <w:r>
        <w:rPr>
          <w:rFonts w:ascii="宋体" w:hAnsi="宋体" w:hint="eastAsia"/>
          <w:color w:val="000000"/>
          <w:szCs w:val="21"/>
        </w:rPr>
        <w:t>内</w:t>
      </w:r>
    </w:p>
    <w:tbl>
      <w:tblPr>
        <w:tblW w:w="8880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8144"/>
      </w:tblGrid>
      <w:tr w:rsidR="00302274" w:rsidRPr="00131898" w:rsidTr="00FF423E">
        <w:trPr>
          <w:trHeight w:val="458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8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住院第1天</w:t>
            </w:r>
          </w:p>
        </w:tc>
      </w:tr>
      <w:tr w:rsidR="00302274" w:rsidRPr="00131898" w:rsidTr="00FF423E">
        <w:trPr>
          <w:trHeight w:val="2181"/>
        </w:trPr>
        <w:tc>
          <w:tcPr>
            <w:tcW w:w="7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主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要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诊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疗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工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作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询问病史及体格检查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完成病历书写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开化验单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上级医师查房，</w:t>
            </w:r>
            <w:r w:rsidRPr="00131898">
              <w:rPr>
                <w:rFonts w:ascii="宋体" w:hAnsi="宋体" w:hint="eastAsia"/>
                <w:color w:val="000000"/>
                <w:kern w:val="0"/>
                <w:szCs w:val="21"/>
              </w:rPr>
              <w:t>初步确定诊断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对症</w:t>
            </w:r>
            <w:r w:rsidRPr="00131898">
              <w:rPr>
                <w:rFonts w:ascii="宋体" w:hAnsi="宋体" w:hint="eastAsia"/>
                <w:color w:val="000000"/>
                <w:kern w:val="0"/>
                <w:szCs w:val="21"/>
              </w:rPr>
              <w:t>支持及各项治疗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向患者家属告病重或病危通知，并签署病重或病危通知书（必要时）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患者家属签署输血知情同意书、骨穿同意书（必要时）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2274" w:rsidRPr="00131898" w:rsidTr="00FF423E">
        <w:trPr>
          <w:trHeight w:val="421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重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点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医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嘱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31898" w:rsidRDefault="00302274" w:rsidP="00FF423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color w:val="000000"/>
                <w:szCs w:val="21"/>
              </w:rPr>
              <w:t>长期医嘱：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血液病护理常规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一级护理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饮食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视病情通知病重或病危</w:t>
            </w:r>
          </w:p>
          <w:p w:rsidR="00302274" w:rsidRPr="00131898" w:rsidRDefault="00302274" w:rsidP="00FF423E">
            <w:pPr>
              <w:tabs>
                <w:tab w:val="left" w:pos="348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  <w:p w:rsidR="00302274" w:rsidRPr="00131898" w:rsidRDefault="00302274" w:rsidP="00FF423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31898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临时医嘱</w:t>
            </w:r>
            <w:r w:rsidRPr="00131898">
              <w:rPr>
                <w:rFonts w:ascii="宋体" w:hAnsi="宋体" w:hint="eastAsia"/>
                <w:color w:val="000000"/>
                <w:kern w:val="0"/>
                <w:szCs w:val="21"/>
              </w:rPr>
              <w:t>：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血常规（包括网织红细胞计数）、尿常规、大便常规＋隐血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抗人球蛋白试验、冷凝集素试验</w:t>
            </w:r>
          </w:p>
          <w:p w:rsidR="00302274" w:rsidRPr="00131898" w:rsidRDefault="00302274" w:rsidP="00FF423E">
            <w:pPr>
              <w:ind w:left="317" w:hangingChars="151" w:hanging="317"/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肝肾功能、电解质、血沉、凝血功能、血涂片、血型、输血前检查、自身免疫疾病筛查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病原微生物检查（必要时）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胸片、腹部B超、头颅CT等影像学检查（必要时）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输注红细胞（有指征且有供应时）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02274" w:rsidRPr="00131898" w:rsidTr="00FF423E">
        <w:trPr>
          <w:cantSplit/>
          <w:trHeight w:val="938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主要护理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工作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介绍病房环境、设施和设备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入院护理评估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 宣教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2274" w:rsidRPr="00131898" w:rsidTr="00FF423E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病情变异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记录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□无  □有，原因：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302274" w:rsidRPr="00131898" w:rsidTr="00FF423E">
        <w:trPr>
          <w:trHeight w:val="640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护士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签名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2274" w:rsidRPr="00131898" w:rsidTr="00FF423E">
        <w:trPr>
          <w:trHeight w:val="64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医师</w:t>
            </w:r>
          </w:p>
          <w:p w:rsidR="00302274" w:rsidRPr="00131898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31898">
              <w:rPr>
                <w:rFonts w:ascii="宋体" w:hAnsi="宋体" w:hint="eastAsia"/>
                <w:b/>
                <w:bCs/>
                <w:color w:val="000000"/>
                <w:szCs w:val="21"/>
              </w:rPr>
              <w:t>签名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31898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02274" w:rsidRDefault="00302274" w:rsidP="00302274">
      <w:pPr>
        <w:rPr>
          <w:rFonts w:ascii="宋体" w:hAnsi="宋体"/>
          <w:color w:val="000000"/>
          <w:szCs w:val="21"/>
        </w:rPr>
      </w:pPr>
    </w:p>
    <w:p w:rsidR="00302274" w:rsidRDefault="00302274" w:rsidP="00302274">
      <w:pPr>
        <w:spacing w:line="240" w:lineRule="exact"/>
        <w:rPr>
          <w:rFonts w:ascii="宋体" w:hAnsi="宋体"/>
          <w:color w:val="000000"/>
          <w:szCs w:val="21"/>
        </w:rPr>
      </w:pPr>
    </w:p>
    <w:tbl>
      <w:tblPr>
        <w:tblpPr w:leftFromText="180" w:rightFromText="180" w:vertAnchor="text" w:horzAnchor="margin" w:tblpY="-2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730"/>
        <w:gridCol w:w="2985"/>
        <w:gridCol w:w="2640"/>
      </w:tblGrid>
      <w:tr w:rsidR="00302274" w:rsidRPr="001D3A71" w:rsidTr="00FF423E">
        <w:trPr>
          <w:cantSplit/>
          <w:trHeight w:val="523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274" w:rsidRPr="001D3A71" w:rsidRDefault="00302274" w:rsidP="00FF423E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274" w:rsidRPr="001D3A71" w:rsidRDefault="00302274" w:rsidP="00FF423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住院第2天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274" w:rsidRPr="001D3A71" w:rsidRDefault="00302274" w:rsidP="00FF423E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住院第3–13天</w:t>
            </w:r>
          </w:p>
        </w:tc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274" w:rsidRPr="001D3A71" w:rsidRDefault="00302274" w:rsidP="00FF423E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住院第14天</w:t>
            </w:r>
          </w:p>
          <w:p w:rsidR="00302274" w:rsidRPr="001D3A71" w:rsidRDefault="00302274" w:rsidP="00FF423E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（出院日）</w:t>
            </w:r>
          </w:p>
        </w:tc>
      </w:tr>
      <w:tr w:rsidR="00302274" w:rsidRPr="001D3A71" w:rsidTr="00FF423E">
        <w:trPr>
          <w:cantSplit/>
          <w:trHeight w:val="4420"/>
        </w:trPr>
        <w:tc>
          <w:tcPr>
            <w:tcW w:w="6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主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要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诊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疗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工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作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tabs>
                <w:tab w:val="left" w:pos="291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上级医师查房</w:t>
            </w:r>
          </w:p>
          <w:p w:rsidR="00302274" w:rsidRPr="001D3A71" w:rsidRDefault="00302274" w:rsidP="00FF423E">
            <w:pPr>
              <w:tabs>
                <w:tab w:val="left" w:pos="291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完成入院各项辅助检查</w:t>
            </w:r>
          </w:p>
          <w:p w:rsidR="00302274" w:rsidRPr="001D3A71" w:rsidRDefault="00302274" w:rsidP="00FF423E">
            <w:pPr>
              <w:tabs>
                <w:tab w:val="left" w:pos="291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继续</w:t>
            </w:r>
            <w:r w:rsidRPr="001D3A71">
              <w:rPr>
                <w:rFonts w:ascii="宋体" w:hAnsi="宋体" w:hint="eastAsia"/>
                <w:color w:val="000000"/>
                <w:szCs w:val="21"/>
              </w:rPr>
              <w:t>各项</w:t>
            </w:r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治疗</w:t>
            </w:r>
          </w:p>
          <w:p w:rsidR="00302274" w:rsidRPr="001D3A71" w:rsidRDefault="00302274" w:rsidP="00FF423E">
            <w:pPr>
              <w:tabs>
                <w:tab w:val="left" w:pos="291"/>
              </w:tabs>
              <w:autoSpaceDE w:val="0"/>
              <w:autoSpaceDN w:val="0"/>
              <w:adjustRightInd w:val="0"/>
              <w:ind w:left="332" w:hangingChars="158" w:hanging="332"/>
              <w:rPr>
                <w:rFonts w:ascii="宋体" w:hAnsi="宋体"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完成相关科室会诊（必要时）</w:t>
            </w:r>
          </w:p>
          <w:p w:rsidR="00302274" w:rsidRPr="001D3A71" w:rsidRDefault="00302274" w:rsidP="00FF423E">
            <w:pPr>
              <w:tabs>
                <w:tab w:val="left" w:pos="291"/>
              </w:tabs>
              <w:autoSpaceDE w:val="0"/>
              <w:autoSpaceDN w:val="0"/>
              <w:adjustRightInd w:val="0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1D3A71">
                <w:rPr>
                  <w:rFonts w:ascii="宋体" w:hAnsi="宋体" w:hint="eastAsia"/>
                  <w:color w:val="000000"/>
                  <w:kern w:val="0"/>
                  <w:szCs w:val="21"/>
                </w:rPr>
                <w:t>成上级</w:t>
              </w:r>
            </w:smartTag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医师查房记录等病历书写</w:t>
            </w:r>
          </w:p>
          <w:p w:rsidR="00302274" w:rsidRPr="001D3A71" w:rsidRDefault="00302274" w:rsidP="00FF423E">
            <w:pPr>
              <w:tabs>
                <w:tab w:val="left" w:pos="291"/>
              </w:tabs>
              <w:ind w:left="315" w:hangingChars="150" w:hanging="315"/>
              <w:rPr>
                <w:rFonts w:ascii="宋体" w:hAnsi="宋体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向患者及家属交待病情及其注意事项</w:t>
            </w:r>
          </w:p>
        </w:tc>
        <w:tc>
          <w:tcPr>
            <w:tcW w:w="29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上级医师查房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复查血常规（包括网织红细胞计数）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观察血红蛋白等变化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根据体检、骨髓检查结果和既往资料，进行鉴别诊断和确定诊断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根据其他检查结果进行鉴别诊断，判断是否合并其他疾病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开始治疗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保护重要脏器功能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注意观察皮质激素的副作用，并对症处理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完成病程记录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上级医师查房，进行评估，确定有无并发症情况，明确是否出院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完成出院记录、病案首页、出院证明书等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向患者交代出院后的注意事项，如：用药方法、返院复诊的时间、地点，发生紧急情况时的处理等</w:t>
            </w:r>
          </w:p>
        </w:tc>
      </w:tr>
      <w:tr w:rsidR="00302274" w:rsidRPr="001D3A71" w:rsidTr="00FF423E">
        <w:trPr>
          <w:cantSplit/>
          <w:trHeight w:val="3853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重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点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医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嘱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  <w:r w:rsidRPr="001D3A71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302274" w:rsidRPr="001D3A71" w:rsidRDefault="00302274" w:rsidP="00FF423E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患者既往用药</w:t>
            </w:r>
          </w:p>
          <w:p w:rsidR="00302274" w:rsidRPr="001D3A71" w:rsidRDefault="00302274" w:rsidP="00FF423E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  <w:p w:rsidR="00302274" w:rsidRPr="001D3A71" w:rsidRDefault="00302274" w:rsidP="00FF423E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临时医嘱：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血常规</w:t>
            </w:r>
          </w:p>
          <w:p w:rsidR="00302274" w:rsidRPr="001D3A71" w:rsidRDefault="00302274" w:rsidP="00FF423E">
            <w:pPr>
              <w:ind w:left="302" w:hangingChars="144" w:hanging="302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骨穿及骨髓形态学（必要时）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输注红细胞（有指征且有供应时）</w:t>
            </w:r>
          </w:p>
          <w:p w:rsidR="00302274" w:rsidRPr="001D3A71" w:rsidRDefault="00302274" w:rsidP="00FF423E">
            <w:pPr>
              <w:rPr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其他</w:t>
            </w:r>
            <w:r w:rsidRPr="001D3A71">
              <w:rPr>
                <w:rFonts w:ascii="宋体" w:hAnsi="宋体" w:hint="eastAsia"/>
                <w:color w:val="000000"/>
                <w:kern w:val="0"/>
                <w:szCs w:val="21"/>
              </w:rPr>
              <w:t>医嘱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D3A71">
              <w:rPr>
                <w:rFonts w:ascii="宋体" w:hAnsi="宋体"/>
                <w:b/>
                <w:color w:val="000000"/>
                <w:szCs w:val="21"/>
              </w:rPr>
              <w:t>长期医嘱（视情</w:t>
            </w:r>
            <w:r w:rsidRPr="001D3A71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r w:rsidRPr="001D3A71">
              <w:rPr>
                <w:rFonts w:ascii="宋体" w:hAnsi="宋体"/>
                <w:b/>
                <w:color w:val="000000"/>
                <w:szCs w:val="21"/>
              </w:rPr>
              <w:t>可第二天起</w:t>
            </w:r>
            <w:r w:rsidRPr="001D3A71">
              <w:rPr>
                <w:rFonts w:ascii="宋体" w:hAnsi="宋体" w:hint="eastAsia"/>
                <w:b/>
                <w:color w:val="000000"/>
                <w:szCs w:val="21"/>
              </w:rPr>
              <w:t>开始治疗</w:t>
            </w:r>
            <w:r w:rsidRPr="001D3A71">
              <w:rPr>
                <w:rFonts w:ascii="宋体" w:hAnsi="宋体"/>
                <w:b/>
                <w:color w:val="000000"/>
                <w:szCs w:val="21"/>
              </w:rPr>
              <w:t>）：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糖皮质激素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  <w:szCs w:val="21"/>
              </w:rPr>
              <w:t>重要脏器保护</w:t>
            </w:r>
            <w:r w:rsidRPr="001D3A71">
              <w:rPr>
                <w:rFonts w:ascii="宋体" w:hAnsi="宋体" w:hint="eastAsia"/>
                <w:color w:val="000000"/>
                <w:szCs w:val="21"/>
              </w:rPr>
              <w:t>、碱化尿液、疏通微循环等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  <w:p w:rsidR="00302274" w:rsidRPr="001D3A71" w:rsidRDefault="00302274" w:rsidP="00FF423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D3A71">
              <w:rPr>
                <w:rFonts w:ascii="宋体" w:hAnsi="宋体"/>
                <w:b/>
                <w:color w:val="000000"/>
                <w:szCs w:val="21"/>
              </w:rPr>
              <w:t>临时医嘱：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复查</w:t>
            </w:r>
            <w:r w:rsidRPr="001D3A71">
              <w:rPr>
                <w:rFonts w:ascii="宋体" w:hAnsi="宋体"/>
                <w:color w:val="000000"/>
                <w:szCs w:val="21"/>
              </w:rPr>
              <w:t>血常规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复查血生化、电解质</w:t>
            </w:r>
          </w:p>
          <w:p w:rsidR="00302274" w:rsidRPr="001D3A71" w:rsidRDefault="00302274" w:rsidP="00FF423E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输静脉丙种球蛋白或红细胞（有指征且有供应时）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对症支持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其他医嘱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D3A71">
              <w:rPr>
                <w:rFonts w:ascii="宋体" w:hAnsi="宋体"/>
                <w:b/>
                <w:color w:val="000000"/>
                <w:szCs w:val="21"/>
              </w:rPr>
              <w:t>出院医嘱：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出院带药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/>
                <w:color w:val="000000"/>
                <w:szCs w:val="21"/>
              </w:rPr>
              <w:t>定期门诊随访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/>
                <w:color w:val="000000"/>
                <w:szCs w:val="21"/>
              </w:rPr>
              <w:t>监</w:t>
            </w:r>
            <w:r w:rsidRPr="001D3A71">
              <w:rPr>
                <w:rFonts w:ascii="宋体" w:hAnsi="宋体"/>
                <w:color w:val="000000"/>
                <w:kern w:val="0"/>
                <w:szCs w:val="21"/>
              </w:rPr>
              <w:t>测血常规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2274" w:rsidRPr="001D3A71" w:rsidTr="00FF423E">
        <w:trPr>
          <w:cantSplit/>
          <w:trHeight w:val="62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主要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护理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工作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 观察患者病情变化</w:t>
            </w:r>
          </w:p>
          <w:p w:rsidR="00302274" w:rsidRPr="001D3A71" w:rsidRDefault="00302274" w:rsidP="00FF423E">
            <w:pPr>
              <w:rPr>
                <w:szCs w:val="21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/>
                <w:color w:val="000000"/>
                <w:szCs w:val="21"/>
              </w:rPr>
              <w:t>观察患者病情变化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1D3A71">
              <w:rPr>
                <w:rFonts w:ascii="宋体" w:hAnsi="宋体"/>
                <w:color w:val="000000"/>
                <w:szCs w:val="21"/>
              </w:rPr>
              <w:t>指导患者办理出院手续</w:t>
            </w:r>
          </w:p>
        </w:tc>
      </w:tr>
      <w:tr w:rsidR="00302274" w:rsidRPr="001D3A71" w:rsidTr="00FF423E">
        <w:trPr>
          <w:cantSplit/>
          <w:trHeight w:val="34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病情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变异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记录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□无  □有，原因：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302274" w:rsidRPr="001D3A71" w:rsidRDefault="00302274" w:rsidP="00FF423E">
            <w:pPr>
              <w:rPr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3A71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1D3A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3A71">
              <w:rPr>
                <w:rFonts w:ascii="宋体" w:hAnsi="宋体"/>
                <w:color w:val="000000"/>
                <w:szCs w:val="21"/>
              </w:rPr>
              <w:t>有</w:t>
            </w:r>
            <w:r w:rsidRPr="001D3A71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1D3A71">
              <w:rPr>
                <w:rFonts w:ascii="宋体" w:hAnsi="宋体"/>
                <w:color w:val="000000"/>
                <w:szCs w:val="21"/>
              </w:rPr>
              <w:t>原因：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3A71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1D3A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3A71">
              <w:rPr>
                <w:rFonts w:ascii="宋体" w:hAnsi="宋体"/>
                <w:color w:val="000000"/>
                <w:szCs w:val="21"/>
              </w:rPr>
              <w:t>有</w:t>
            </w:r>
            <w:r w:rsidRPr="001D3A71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1D3A71">
              <w:rPr>
                <w:rFonts w:ascii="宋体" w:hAnsi="宋体"/>
                <w:color w:val="000000"/>
                <w:szCs w:val="21"/>
              </w:rPr>
              <w:t>原因：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302274" w:rsidRPr="001D3A71" w:rsidTr="00FF423E">
        <w:trPr>
          <w:trHeight w:val="64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护士</w:t>
            </w:r>
          </w:p>
          <w:p w:rsidR="00302274" w:rsidRPr="001D3A71" w:rsidRDefault="00302274" w:rsidP="00FF423E">
            <w:pPr>
              <w:ind w:leftChars="-75" w:left="-158" w:firstLineChars="78" w:firstLine="164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签名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szCs w:val="21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2274" w:rsidRPr="001D3A71" w:rsidTr="00FF423E">
        <w:trPr>
          <w:trHeight w:val="64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医师</w:t>
            </w:r>
          </w:p>
          <w:p w:rsidR="00302274" w:rsidRPr="001D3A71" w:rsidRDefault="00302274" w:rsidP="00FF423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D3A71">
              <w:rPr>
                <w:rFonts w:ascii="宋体" w:hAnsi="宋体" w:hint="eastAsia"/>
                <w:b/>
                <w:bCs/>
                <w:color w:val="000000"/>
                <w:szCs w:val="21"/>
              </w:rPr>
              <w:t>签名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274" w:rsidRPr="001D3A71" w:rsidRDefault="00302274" w:rsidP="00FF423E">
            <w:pPr>
              <w:rPr>
                <w:szCs w:val="21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274" w:rsidRPr="001D3A71" w:rsidRDefault="00302274" w:rsidP="00FF423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E21E08" w:rsidRDefault="00E21E08"/>
    <w:sectPr w:rsidR="00E2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08" w:rsidRDefault="00E21E08" w:rsidP="00302274">
      <w:r>
        <w:separator/>
      </w:r>
    </w:p>
  </w:endnote>
  <w:endnote w:type="continuationSeparator" w:id="1">
    <w:p w:rsidR="00E21E08" w:rsidRDefault="00E21E08" w:rsidP="0030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08" w:rsidRDefault="00E21E08" w:rsidP="00302274">
      <w:r>
        <w:separator/>
      </w:r>
    </w:p>
  </w:footnote>
  <w:footnote w:type="continuationSeparator" w:id="1">
    <w:p w:rsidR="00E21E08" w:rsidRDefault="00E21E08" w:rsidP="00302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274"/>
    <w:rsid w:val="00302274"/>
    <w:rsid w:val="00E2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2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2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朱峰</dc:creator>
  <cp:keywords/>
  <dc:description/>
  <cp:lastModifiedBy>朱峰</cp:lastModifiedBy>
  <cp:revision>2</cp:revision>
  <dcterms:created xsi:type="dcterms:W3CDTF">2016-10-09T08:40:00Z</dcterms:created>
  <dcterms:modified xsi:type="dcterms:W3CDTF">2016-10-09T08:41:00Z</dcterms:modified>
</cp:coreProperties>
</file>