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E8" w:rsidRPr="00352D86" w:rsidRDefault="00A44DE8" w:rsidP="00A44DE8">
      <w:pPr>
        <w:jc w:val="center"/>
        <w:rPr>
          <w:rFonts w:ascii="宋体" w:hAnsi="宋体"/>
          <w:b/>
          <w:sz w:val="44"/>
          <w:szCs w:val="44"/>
        </w:rPr>
      </w:pPr>
      <w:r w:rsidRPr="00352D86">
        <w:rPr>
          <w:rFonts w:ascii="宋体" w:hAnsi="宋体" w:hint="eastAsia"/>
          <w:b/>
          <w:sz w:val="44"/>
          <w:szCs w:val="44"/>
        </w:rPr>
        <w:t>淋病</w:t>
      </w:r>
      <w:r w:rsidRPr="00352D86">
        <w:rPr>
          <w:rFonts w:ascii="宋体" w:hAnsi="宋体"/>
          <w:b/>
          <w:sz w:val="44"/>
          <w:szCs w:val="44"/>
        </w:rPr>
        <w:t>临床路径</w:t>
      </w:r>
    </w:p>
    <w:p w:rsidR="00A44DE8" w:rsidRPr="00654A02" w:rsidRDefault="00A44DE8" w:rsidP="00A44DE8">
      <w:pPr>
        <w:jc w:val="center"/>
        <w:rPr>
          <w:rFonts w:ascii="仿宋_GB2312" w:eastAsia="仿宋_GB2312" w:hAnsi="楷体_GB2312"/>
          <w:bCs/>
          <w:color w:val="000000"/>
          <w:sz w:val="32"/>
          <w:szCs w:val="32"/>
        </w:rPr>
      </w:pPr>
      <w:r w:rsidRPr="00654A02">
        <w:rPr>
          <w:rFonts w:ascii="仿宋_GB2312" w:eastAsia="仿宋_GB2312" w:hAnsi="楷体_GB2312" w:hint="eastAsia"/>
          <w:bCs/>
          <w:color w:val="000000"/>
          <w:sz w:val="32"/>
          <w:szCs w:val="32"/>
        </w:rPr>
        <w:t>（2010年版）</w:t>
      </w:r>
    </w:p>
    <w:p w:rsidR="00A44DE8" w:rsidRPr="00654A02" w:rsidRDefault="00A44DE8" w:rsidP="00A44DE8">
      <w:pPr>
        <w:adjustRightInd w:val="0"/>
        <w:snapToGrid w:val="0"/>
        <w:spacing w:line="600" w:lineRule="exact"/>
        <w:rPr>
          <w:rFonts w:ascii="华文仿宋" w:eastAsia="华文仿宋" w:hAnsi="华文仿宋"/>
          <w:b/>
          <w:color w:val="000000"/>
          <w:sz w:val="28"/>
          <w:szCs w:val="28"/>
        </w:rPr>
      </w:pPr>
    </w:p>
    <w:p w:rsidR="00A44DE8" w:rsidRPr="00654A02" w:rsidRDefault="00A44DE8" w:rsidP="00A44DE8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华文仿宋"/>
          <w:color w:val="000000"/>
          <w:sz w:val="32"/>
          <w:szCs w:val="32"/>
        </w:rPr>
      </w:pPr>
      <w:r w:rsidRPr="00654A02">
        <w:rPr>
          <w:rFonts w:ascii="黑体" w:eastAsia="黑体" w:hAnsi="华文仿宋" w:hint="eastAsia"/>
          <w:color w:val="000000"/>
          <w:sz w:val="32"/>
          <w:szCs w:val="32"/>
        </w:rPr>
        <w:t>一、淋病临床路径标准门诊流程</w:t>
      </w:r>
    </w:p>
    <w:p w:rsidR="00A44DE8" w:rsidRPr="00654A02" w:rsidRDefault="00A44DE8" w:rsidP="00A44DE8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华文仿宋"/>
          <w:color w:val="000000"/>
          <w:sz w:val="32"/>
          <w:szCs w:val="32"/>
        </w:rPr>
      </w:pPr>
      <w:r w:rsidRPr="00654A02">
        <w:rPr>
          <w:rFonts w:ascii="楷体_GB2312" w:eastAsia="楷体_GB2312" w:hAnsi="华文仿宋" w:hint="eastAsia"/>
          <w:color w:val="000000"/>
          <w:sz w:val="32"/>
          <w:szCs w:val="32"/>
        </w:rPr>
        <w:t>（一）适用对象。</w:t>
      </w:r>
    </w:p>
    <w:p w:rsidR="00A44DE8" w:rsidRPr="00352D86" w:rsidRDefault="00A44DE8" w:rsidP="00A44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654A02">
        <w:rPr>
          <w:rFonts w:ascii="仿宋_GB2312" w:eastAsia="仿宋_GB2312" w:hAnsi="华文仿宋" w:hint="eastAsia"/>
          <w:color w:val="000000"/>
          <w:sz w:val="32"/>
          <w:szCs w:val="32"/>
        </w:rPr>
        <w:t>第一诊断为淋病（ICD-10：A54）</w:t>
      </w:r>
      <w:r>
        <w:rPr>
          <w:rFonts w:ascii="仿宋_GB2312" w:eastAsia="仿宋_GB2312" w:hAnsi="华文仿宋" w:hint="eastAsia"/>
          <w:color w:val="000000"/>
          <w:sz w:val="32"/>
          <w:szCs w:val="32"/>
        </w:rPr>
        <w:t>。</w:t>
      </w:r>
    </w:p>
    <w:p w:rsidR="00A44DE8" w:rsidRPr="00352D86" w:rsidRDefault="00A44DE8" w:rsidP="00A44DE8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华文仿宋"/>
          <w:sz w:val="32"/>
          <w:szCs w:val="32"/>
        </w:rPr>
      </w:pPr>
      <w:r w:rsidRPr="00352D86">
        <w:rPr>
          <w:rFonts w:ascii="楷体_GB2312" w:eastAsia="楷体_GB2312" w:hAnsi="华文仿宋" w:hint="eastAsia"/>
          <w:sz w:val="32"/>
          <w:szCs w:val="32"/>
        </w:rPr>
        <w:t>（二）诊断依据。</w:t>
      </w:r>
    </w:p>
    <w:p w:rsidR="00A44DE8" w:rsidRPr="00352D86" w:rsidRDefault="00A44DE8" w:rsidP="00A44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>根据《临床诊疗指南-皮肤病与性病分册》（中华医学会编著，人民卫生出版社）</w:t>
      </w:r>
      <w:r>
        <w:rPr>
          <w:rFonts w:ascii="仿宋_GB2312" w:eastAsia="仿宋_GB2312" w:hAnsi="华文仿宋" w:hint="eastAsia"/>
          <w:sz w:val="32"/>
          <w:szCs w:val="32"/>
        </w:rPr>
        <w:t>、</w:t>
      </w:r>
      <w:r w:rsidRPr="00352D86">
        <w:rPr>
          <w:rFonts w:ascii="仿宋_GB2312" w:eastAsia="仿宋_GB2312" w:hAnsi="华文仿宋" w:hint="eastAsia"/>
          <w:sz w:val="32"/>
          <w:szCs w:val="32"/>
        </w:rPr>
        <w:t>《临床技术操作规范-皮肤病与性病分册》（中华医学会编著，人民军医出版社）</w:t>
      </w:r>
      <w:r>
        <w:rPr>
          <w:rFonts w:ascii="仿宋_GB2312" w:eastAsia="仿宋_GB2312" w:hAnsi="华文仿宋" w:hint="eastAsia"/>
          <w:sz w:val="32"/>
          <w:szCs w:val="32"/>
        </w:rPr>
        <w:t>。</w:t>
      </w:r>
    </w:p>
    <w:p w:rsidR="00A44DE8" w:rsidRPr="00352D86" w:rsidRDefault="00A44DE8" w:rsidP="00A44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>1．患者有不安全性行为，或有性伴感染史,或有与淋病病人密切接触史。儿童患者可有性虐待史，新生儿患者母亲有淋病史。</w:t>
      </w:r>
    </w:p>
    <w:p w:rsidR="00A44DE8" w:rsidRPr="00352D86" w:rsidRDefault="00A44DE8" w:rsidP="00A44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>2．男性单纯性淋菌性尿道炎表现为尿痛、尿道口红肿、尿道脓性分泌物，部分病人临床表现可不典型；女性单纯性淋菌性宫颈炎表现为脓性白带、宫颈红肿、宫颈口粘液脓性分泌物，亦可无明显临床表现。</w:t>
      </w:r>
    </w:p>
    <w:p w:rsidR="00A44DE8" w:rsidRPr="00352D86" w:rsidRDefault="00A44DE8" w:rsidP="00A44DE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>3．淋球菌可感染其他部位，引起淋菌性结膜炎、淋菌性肛门直肠炎和淋菌性咽炎</w:t>
      </w:r>
      <w:r>
        <w:rPr>
          <w:rFonts w:ascii="仿宋_GB2312" w:eastAsia="仿宋_GB2312" w:hAnsi="华文仿宋" w:hint="eastAsia"/>
          <w:sz w:val="32"/>
          <w:szCs w:val="32"/>
        </w:rPr>
        <w:t>。</w:t>
      </w:r>
    </w:p>
    <w:p w:rsidR="00A44DE8" w:rsidRPr="00352D86" w:rsidRDefault="00A44DE8" w:rsidP="00A44DE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>4．淋病因治疗不当等因素，可引起并发症出现，男性可有前列腺炎、精囊炎或附睾炎，女性可有输卵管炎、子宫内膜炎、盆腔炎等。</w:t>
      </w:r>
    </w:p>
    <w:p w:rsidR="00A44DE8" w:rsidRPr="00352D86" w:rsidRDefault="00A44DE8" w:rsidP="00A44DE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lastRenderedPageBreak/>
        <w:t>5．严重者可出现全身播散性淋病，由淋菌性菌血症引起，可有瘀点、脓疱性的肢端皮损、关节痛、腱鞘炎或化脓性关节炎，还可合并肝周围炎，较少有心内膜炎和脑膜炎。</w:t>
      </w:r>
    </w:p>
    <w:p w:rsidR="00A44DE8" w:rsidRPr="00352D86" w:rsidRDefault="00A44DE8" w:rsidP="00A44DE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>6．尿道口、宫颈分泌物或其他患病部位分泌物做淋球菌涂片和培养，结果为阳性。</w:t>
      </w:r>
    </w:p>
    <w:p w:rsidR="00A44DE8" w:rsidRPr="00352D86" w:rsidRDefault="00A44DE8" w:rsidP="00A44DE8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华文仿宋"/>
          <w:sz w:val="32"/>
          <w:szCs w:val="32"/>
        </w:rPr>
      </w:pPr>
      <w:r w:rsidRPr="00352D86">
        <w:rPr>
          <w:rFonts w:ascii="楷体_GB2312" w:eastAsia="楷体_GB2312" w:hAnsi="华文仿宋" w:hint="eastAsia"/>
          <w:sz w:val="32"/>
          <w:szCs w:val="32"/>
        </w:rPr>
        <w:t>（三）治疗方案的选择。</w:t>
      </w:r>
    </w:p>
    <w:p w:rsidR="00A44DE8" w:rsidRPr="00352D86" w:rsidRDefault="00A44DE8" w:rsidP="00A44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>根据《临床治疗指南-</w:t>
      </w:r>
      <w:r>
        <w:rPr>
          <w:rFonts w:ascii="仿宋_GB2312" w:eastAsia="仿宋_GB2312" w:hAnsi="华文仿宋" w:hint="eastAsia"/>
          <w:sz w:val="32"/>
          <w:szCs w:val="32"/>
        </w:rPr>
        <w:t>皮肤病与性病分册》（中华医学会编著，人民卫生出版社）、</w:t>
      </w:r>
      <w:r w:rsidRPr="00352D86">
        <w:rPr>
          <w:rFonts w:ascii="仿宋_GB2312" w:eastAsia="仿宋_GB2312" w:hAnsi="华文仿宋" w:hint="eastAsia"/>
          <w:sz w:val="32"/>
          <w:szCs w:val="32"/>
        </w:rPr>
        <w:t>《临床技术操作规范-皮肤病与性病分册》（中华医学会编著，人民军医出版社）</w:t>
      </w:r>
      <w:r>
        <w:rPr>
          <w:rFonts w:ascii="仿宋_GB2312" w:eastAsia="仿宋_GB2312" w:hAnsi="华文仿宋" w:hint="eastAsia"/>
          <w:sz w:val="32"/>
          <w:szCs w:val="32"/>
        </w:rPr>
        <w:t>。</w:t>
      </w:r>
    </w:p>
    <w:p w:rsidR="00A44DE8" w:rsidRPr="00352D86" w:rsidRDefault="00A44DE8" w:rsidP="00A44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>1．抗生素治疗。</w:t>
      </w:r>
    </w:p>
    <w:p w:rsidR="00A44DE8" w:rsidRPr="00352D86" w:rsidRDefault="00A44DE8" w:rsidP="00A44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>2．对症治疗等。</w:t>
      </w:r>
    </w:p>
    <w:p w:rsidR="00A44DE8" w:rsidRPr="00352D86" w:rsidRDefault="00A44DE8" w:rsidP="00A44DE8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华文仿宋"/>
          <w:sz w:val="32"/>
          <w:szCs w:val="32"/>
        </w:rPr>
      </w:pPr>
      <w:r w:rsidRPr="00352D86">
        <w:rPr>
          <w:rFonts w:ascii="楷体_GB2312" w:eastAsia="楷体_GB2312" w:hAnsi="华文仿宋" w:hint="eastAsia"/>
          <w:sz w:val="32"/>
          <w:szCs w:val="32"/>
        </w:rPr>
        <w:t>（四）进入路径标准。</w:t>
      </w:r>
    </w:p>
    <w:p w:rsidR="00A44DE8" w:rsidRPr="00D015FF" w:rsidRDefault="00A44DE8" w:rsidP="00A44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>1．第一诊断必须符合</w:t>
      </w:r>
      <w:r w:rsidRPr="00654A02">
        <w:rPr>
          <w:rFonts w:ascii="仿宋_GB2312" w:eastAsia="仿宋_GB2312" w:hAnsi="华文仿宋" w:hint="eastAsia"/>
          <w:color w:val="000000"/>
          <w:sz w:val="32"/>
          <w:szCs w:val="32"/>
        </w:rPr>
        <w:t>ICD-10：A54</w:t>
      </w:r>
      <w:r w:rsidRPr="00D015FF">
        <w:rPr>
          <w:rFonts w:ascii="仿宋_GB2312" w:eastAsia="仿宋_GB2312" w:hAnsi="华文仿宋" w:hint="eastAsia"/>
          <w:sz w:val="32"/>
          <w:szCs w:val="32"/>
        </w:rPr>
        <w:t>淋病的疾病编码。</w:t>
      </w:r>
    </w:p>
    <w:p w:rsidR="00A44DE8" w:rsidRPr="00352D86" w:rsidRDefault="00A44DE8" w:rsidP="00A44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D015FF">
        <w:rPr>
          <w:rFonts w:ascii="仿宋_GB2312" w:eastAsia="仿宋_GB2312" w:hAnsi="华文仿宋" w:hint="eastAsia"/>
          <w:sz w:val="32"/>
          <w:szCs w:val="32"/>
        </w:rPr>
        <w:t>2．当患者同时具有其他疾病诊断，但在</w:t>
      </w:r>
      <w:r w:rsidRPr="00352D86">
        <w:rPr>
          <w:rFonts w:ascii="仿宋_GB2312" w:eastAsia="仿宋_GB2312" w:hAnsi="华文仿宋" w:hint="eastAsia"/>
          <w:sz w:val="32"/>
          <w:szCs w:val="32"/>
        </w:rPr>
        <w:t>住院期间不需要特殊处理也不影响第一诊断的临床路径流程实施时，可以进入路径。</w:t>
      </w:r>
    </w:p>
    <w:p w:rsidR="00A44DE8" w:rsidRPr="00352D86" w:rsidRDefault="00A44DE8" w:rsidP="00A44DE8">
      <w:pPr>
        <w:adjustRightInd w:val="0"/>
        <w:snapToGrid w:val="0"/>
        <w:spacing w:line="600" w:lineRule="exact"/>
        <w:ind w:firstLineChars="200" w:firstLine="640"/>
        <w:rPr>
          <w:rFonts w:ascii="楷体_GB2312" w:eastAsia="楷体_GB2312" w:hAnsi="华文仿宋"/>
          <w:sz w:val="32"/>
          <w:szCs w:val="32"/>
        </w:rPr>
      </w:pPr>
      <w:r w:rsidRPr="00352D86">
        <w:rPr>
          <w:rFonts w:ascii="楷体_GB2312" w:eastAsia="楷体_GB2312" w:hAnsi="华文仿宋" w:hint="eastAsia"/>
          <w:sz w:val="32"/>
          <w:szCs w:val="32"/>
        </w:rPr>
        <w:t>（五）检查项目。</w:t>
      </w:r>
    </w:p>
    <w:p w:rsidR="00A44DE8" w:rsidRPr="00352D86" w:rsidRDefault="00A44DE8" w:rsidP="00A44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>1．必需的检查项目：</w:t>
      </w:r>
    </w:p>
    <w:p w:rsidR="00A44DE8" w:rsidRPr="00352D86" w:rsidRDefault="00A44DE8" w:rsidP="00A44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>（1）有临床表现的男性患者，取尿道口分泌物行淋球菌涂片和培养；</w:t>
      </w:r>
    </w:p>
    <w:p w:rsidR="00A44DE8" w:rsidRPr="00352D86" w:rsidRDefault="00A44DE8" w:rsidP="00A44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>（2）无临床表现的男性患者、女性患者及非生殖器部位感染的患者，取患处分泌物行淋球菌培养；</w:t>
      </w:r>
    </w:p>
    <w:p w:rsidR="00A44DE8" w:rsidRPr="00352D86" w:rsidRDefault="00A44DE8" w:rsidP="00A44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>（3）其他患处分泌物行淋球菌涂片和培养。</w:t>
      </w:r>
    </w:p>
    <w:p w:rsidR="00A44DE8" w:rsidRPr="00352D86" w:rsidRDefault="00A44DE8" w:rsidP="00A44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lastRenderedPageBreak/>
        <w:t>2．根据患者病情选择的项目：</w:t>
      </w:r>
    </w:p>
    <w:p w:rsidR="00A44DE8" w:rsidRPr="00352D86" w:rsidRDefault="00A44DE8" w:rsidP="00A44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>（1）淋球菌的药物敏感试验；</w:t>
      </w:r>
    </w:p>
    <w:p w:rsidR="00A44DE8" w:rsidRPr="00352D86" w:rsidRDefault="00A44DE8" w:rsidP="00A44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>（2）衣原体、支原体、艾滋病病毒、梅毒螺旋体的检测（采用培养或血清检测等方法）</w:t>
      </w:r>
      <w:r>
        <w:rPr>
          <w:rFonts w:ascii="仿宋_GB2312" w:eastAsia="仿宋_GB2312" w:hAnsi="华文仿宋" w:hint="eastAsia"/>
          <w:sz w:val="32"/>
          <w:szCs w:val="32"/>
        </w:rPr>
        <w:t>。</w:t>
      </w:r>
    </w:p>
    <w:p w:rsidR="00A44DE8" w:rsidRPr="00352D86" w:rsidRDefault="00A44DE8" w:rsidP="00A44DE8">
      <w:pPr>
        <w:adjustRightInd w:val="0"/>
        <w:snapToGrid w:val="0"/>
        <w:spacing w:line="600" w:lineRule="exact"/>
        <w:ind w:leftChars="304" w:left="638"/>
        <w:rPr>
          <w:rFonts w:ascii="楷体_GB2312" w:eastAsia="楷体_GB2312" w:hAnsi="华文仿宋"/>
          <w:sz w:val="32"/>
          <w:szCs w:val="32"/>
        </w:rPr>
      </w:pPr>
      <w:r w:rsidRPr="00352D86">
        <w:rPr>
          <w:rFonts w:ascii="楷体_GB2312" w:eastAsia="楷体_GB2312" w:hAnsi="华文仿宋" w:hint="eastAsia"/>
          <w:sz w:val="32"/>
          <w:szCs w:val="32"/>
        </w:rPr>
        <w:t>（六）治疗方案与药物选择。</w:t>
      </w:r>
    </w:p>
    <w:p w:rsidR="00A44DE8" w:rsidRPr="00352D86" w:rsidRDefault="00A44DE8" w:rsidP="00A44DE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>1．抗生素按照《抗菌药物临床应用指导原则》（卫医发〔2004〕285号）执行，根据血、分泌物和排泄物的微生物培养及药敏结果选用，用药时间视病情而定。</w:t>
      </w:r>
    </w:p>
    <w:p w:rsidR="00A44DE8" w:rsidRPr="00352D86" w:rsidRDefault="00A44DE8" w:rsidP="00A44DE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>（1）淋菌性尿道炎、宫颈炎、直肠炎：头孢曲松250mg，单次肌注；或大观霉素</w:t>
      </w:r>
      <w:smartTag w:uri="urn:schemas-microsoft-com:office:smarttags" w:element="chmetcnv">
        <w:smartTagPr>
          <w:attr w:name="UnitName" w:val="g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352D86">
          <w:rPr>
            <w:rFonts w:ascii="仿宋_GB2312" w:eastAsia="仿宋_GB2312" w:hAnsi="华文仿宋" w:hint="eastAsia"/>
            <w:sz w:val="32"/>
            <w:szCs w:val="32"/>
          </w:rPr>
          <w:t>2g</w:t>
        </w:r>
      </w:smartTag>
      <w:r w:rsidRPr="00352D86">
        <w:rPr>
          <w:rFonts w:ascii="仿宋_GB2312" w:eastAsia="仿宋_GB2312" w:hAnsi="华文仿宋" w:hint="eastAsia"/>
          <w:sz w:val="32"/>
          <w:szCs w:val="32"/>
        </w:rPr>
        <w:t>（宫颈炎</w:t>
      </w:r>
      <w:smartTag w:uri="urn:schemas-microsoft-com:office:smarttags" w:element="chmetcnv">
        <w:smartTagPr>
          <w:attr w:name="UnitName" w:val="g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352D86">
          <w:rPr>
            <w:rFonts w:ascii="仿宋_GB2312" w:eastAsia="仿宋_GB2312" w:hAnsi="华文仿宋" w:hint="eastAsia"/>
            <w:sz w:val="32"/>
            <w:szCs w:val="32"/>
          </w:rPr>
          <w:t>4g</w:t>
        </w:r>
      </w:smartTag>
      <w:r w:rsidRPr="00352D86">
        <w:rPr>
          <w:rFonts w:ascii="仿宋_GB2312" w:eastAsia="仿宋_GB2312" w:hAnsi="华文仿宋" w:hint="eastAsia"/>
          <w:sz w:val="32"/>
          <w:szCs w:val="32"/>
        </w:rPr>
        <w:t>），单次肌注；或头孢噻肟</w:t>
      </w:r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352D86">
          <w:rPr>
            <w:rFonts w:ascii="仿宋_GB2312" w:eastAsia="仿宋_GB2312" w:hAnsi="华文仿宋" w:hint="eastAsia"/>
            <w:sz w:val="32"/>
            <w:szCs w:val="32"/>
          </w:rPr>
          <w:t>1g</w:t>
        </w:r>
      </w:smartTag>
      <w:r w:rsidRPr="00352D86">
        <w:rPr>
          <w:rFonts w:ascii="仿宋_GB2312" w:eastAsia="仿宋_GB2312" w:hAnsi="华文仿宋" w:hint="eastAsia"/>
          <w:sz w:val="32"/>
          <w:szCs w:val="32"/>
        </w:rPr>
        <w:t>，单次肌注。如果衣原体感染不能排除，加上抗沙眼衣原体感染药物。</w:t>
      </w:r>
    </w:p>
    <w:p w:rsidR="00A44DE8" w:rsidRPr="00352D86" w:rsidRDefault="00A44DE8" w:rsidP="00A44DE8">
      <w:pPr>
        <w:autoSpaceDE w:val="0"/>
        <w:autoSpaceDN w:val="0"/>
        <w:adjustRightInd w:val="0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>（2）儿童淋病应禁用喹诺酮类药物，年龄小于8岁者禁用四环素类药物，体重大于</w:t>
      </w:r>
      <w:smartTag w:uri="urn:schemas-microsoft-com:office:smarttags" w:element="chmetcnv">
        <w:smartTagPr>
          <w:attr w:name="UnitName" w:val="kg"/>
          <w:attr w:name="SourceValue" w:val="45"/>
          <w:attr w:name="HasSpace" w:val="False"/>
          <w:attr w:name="Negative" w:val="False"/>
          <w:attr w:name="NumberType" w:val="1"/>
          <w:attr w:name="TCSC" w:val="0"/>
        </w:smartTagPr>
        <w:r w:rsidRPr="00352D86">
          <w:rPr>
            <w:rFonts w:ascii="仿宋_GB2312" w:eastAsia="仿宋_GB2312" w:hAnsi="华文仿宋" w:hint="eastAsia"/>
            <w:sz w:val="32"/>
            <w:szCs w:val="32"/>
          </w:rPr>
          <w:t>45kg</w:t>
        </w:r>
      </w:smartTag>
      <w:r w:rsidRPr="00352D86">
        <w:rPr>
          <w:rFonts w:ascii="仿宋_GB2312" w:eastAsia="仿宋_GB2312" w:hAnsi="华文仿宋" w:hint="eastAsia"/>
          <w:sz w:val="32"/>
          <w:szCs w:val="32"/>
        </w:rPr>
        <w:t>按成人方案治疗，体重小于</w:t>
      </w:r>
      <w:smartTag w:uri="urn:schemas-microsoft-com:office:smarttags" w:element="chmetcnv">
        <w:smartTagPr>
          <w:attr w:name="UnitName" w:val="kg"/>
          <w:attr w:name="SourceValue" w:val="45"/>
          <w:attr w:name="HasSpace" w:val="False"/>
          <w:attr w:name="Negative" w:val="False"/>
          <w:attr w:name="NumberType" w:val="1"/>
          <w:attr w:name="TCSC" w:val="0"/>
        </w:smartTagPr>
        <w:r w:rsidRPr="00352D86">
          <w:rPr>
            <w:rFonts w:ascii="仿宋_GB2312" w:eastAsia="仿宋_GB2312" w:hAnsi="华文仿宋" w:hint="eastAsia"/>
            <w:sz w:val="32"/>
            <w:szCs w:val="32"/>
          </w:rPr>
          <w:t>45kg</w:t>
        </w:r>
      </w:smartTag>
      <w:r w:rsidRPr="00352D86">
        <w:rPr>
          <w:rFonts w:ascii="仿宋_GB2312" w:eastAsia="仿宋_GB2312" w:hAnsi="华文仿宋" w:hint="eastAsia"/>
          <w:sz w:val="32"/>
          <w:szCs w:val="32"/>
        </w:rPr>
        <w:t>儿童按如下方案：头孢曲松125mg，单次肌注；或大观霉素40mg/kg，单次肌注。如果衣原体感染不能排除，加上抗沙眼衣原体感染药物。</w:t>
      </w:r>
    </w:p>
    <w:p w:rsidR="00A44DE8" w:rsidRPr="00352D86" w:rsidRDefault="00A44DE8" w:rsidP="00A44DE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>（3）淋菌性眼炎:新生儿：头孢曲松25</w:t>
      </w:r>
      <w:r>
        <w:rPr>
          <w:rFonts w:ascii="宋体" w:hAnsi="宋体" w:cs="宋体" w:hint="eastAsia"/>
          <w:sz w:val="32"/>
          <w:szCs w:val="32"/>
        </w:rPr>
        <w:t>–</w:t>
      </w:r>
      <w:r w:rsidRPr="00352D86">
        <w:rPr>
          <w:rFonts w:ascii="仿宋_GB2312" w:eastAsia="仿宋_GB2312" w:hAnsi="华文仿宋" w:hint="eastAsia"/>
          <w:sz w:val="32"/>
          <w:szCs w:val="32"/>
        </w:rPr>
        <w:t>50mg/kg（总量不超过125mg），每日一次肌注，连续7天；或大观霉素40mg/kg，每日一次肌注，连续7天。成人：头孢曲松250mg，每日一次肌注，连续7天；或大观霉素</w:t>
      </w:r>
      <w:smartTag w:uri="urn:schemas-microsoft-com:office:smarttags" w:element="chmetcnv">
        <w:smartTagPr>
          <w:attr w:name="UnitName" w:val="g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352D86">
          <w:rPr>
            <w:rFonts w:ascii="仿宋_GB2312" w:eastAsia="仿宋_GB2312" w:hAnsi="华文仿宋" w:hint="eastAsia"/>
            <w:sz w:val="32"/>
            <w:szCs w:val="32"/>
          </w:rPr>
          <w:t>2g</w:t>
        </w:r>
      </w:smartTag>
      <w:r w:rsidRPr="00352D86">
        <w:rPr>
          <w:rFonts w:ascii="仿宋_GB2312" w:eastAsia="仿宋_GB2312" w:hAnsi="华文仿宋" w:hint="eastAsia"/>
          <w:sz w:val="32"/>
          <w:szCs w:val="32"/>
        </w:rPr>
        <w:t>，每日一次肌注，连续7天。</w:t>
      </w:r>
    </w:p>
    <w:p w:rsidR="00A44DE8" w:rsidRPr="00352D86" w:rsidRDefault="00A44DE8" w:rsidP="00A44DE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lastRenderedPageBreak/>
        <w:t>（4）淋菌性咽炎:头孢曲松250mg，单剂肌注；或头孢噻肟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g"/>
        </w:smartTagPr>
        <w:r w:rsidRPr="00352D86">
          <w:rPr>
            <w:rFonts w:ascii="仿宋_GB2312" w:eastAsia="仿宋_GB2312" w:hAnsi="华文仿宋" w:hint="eastAsia"/>
            <w:sz w:val="32"/>
            <w:szCs w:val="32"/>
          </w:rPr>
          <w:t>1g</w:t>
        </w:r>
      </w:smartTag>
      <w:r w:rsidRPr="00352D86">
        <w:rPr>
          <w:rFonts w:ascii="仿宋_GB2312" w:eastAsia="仿宋_GB2312" w:hAnsi="华文仿宋" w:hint="eastAsia"/>
          <w:sz w:val="32"/>
          <w:szCs w:val="32"/>
        </w:rPr>
        <w:t>，单剂肌注。如果沙眼衣原体感染不能排除，加上抗沙眼衣原体感染药物。大观霉素对淋菌性咽炎的疗效差，不推荐使用。</w:t>
      </w:r>
    </w:p>
    <w:p w:rsidR="00A44DE8" w:rsidRPr="00352D86" w:rsidRDefault="00A44DE8" w:rsidP="00A44DE8">
      <w:pPr>
        <w:tabs>
          <w:tab w:val="left" w:pos="630"/>
        </w:tabs>
        <w:autoSpaceDE w:val="0"/>
        <w:autoSpaceDN w:val="0"/>
        <w:adjustRightInd w:val="0"/>
        <w:ind w:firstLineChars="100" w:firstLine="320"/>
        <w:jc w:val="left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 xml:space="preserve">  （5）有合并症的淋病：头孢曲松250mg，每日一次肌注，连续10天；或大观霉素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g"/>
        </w:smartTagPr>
        <w:r w:rsidRPr="00352D86">
          <w:rPr>
            <w:rFonts w:ascii="仿宋_GB2312" w:eastAsia="仿宋_GB2312" w:hAnsi="华文仿宋" w:hint="eastAsia"/>
            <w:sz w:val="32"/>
            <w:szCs w:val="32"/>
          </w:rPr>
          <w:t>2g</w:t>
        </w:r>
      </w:smartTag>
      <w:r w:rsidRPr="00352D86">
        <w:rPr>
          <w:rFonts w:ascii="仿宋_GB2312" w:eastAsia="仿宋_GB2312" w:hAnsi="华文仿宋" w:hint="eastAsia"/>
          <w:sz w:val="32"/>
          <w:szCs w:val="32"/>
        </w:rPr>
        <w:t>，每日一次肌注，连续10天。</w:t>
      </w:r>
    </w:p>
    <w:p w:rsidR="00A44DE8" w:rsidRPr="00352D86" w:rsidRDefault="00A44DE8" w:rsidP="00A44DE8">
      <w:pPr>
        <w:tabs>
          <w:tab w:val="left" w:pos="630"/>
        </w:tabs>
        <w:autoSpaceDE w:val="0"/>
        <w:autoSpaceDN w:val="0"/>
        <w:adjustRightInd w:val="0"/>
        <w:ind w:firstLineChars="100" w:firstLine="320"/>
        <w:jc w:val="left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 xml:space="preserve">  （6）播散性淋病：头孢曲松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g"/>
        </w:smartTagPr>
        <w:r w:rsidRPr="00352D86">
          <w:rPr>
            <w:rFonts w:ascii="仿宋_GB2312" w:eastAsia="仿宋_GB2312" w:hAnsi="华文仿宋" w:hint="eastAsia"/>
            <w:sz w:val="32"/>
            <w:szCs w:val="32"/>
          </w:rPr>
          <w:t>1.0g</w:t>
        </w:r>
      </w:smartTag>
      <w:r w:rsidRPr="00352D86">
        <w:rPr>
          <w:rFonts w:ascii="仿宋_GB2312" w:eastAsia="仿宋_GB2312" w:hAnsi="华文仿宋" w:hint="eastAsia"/>
          <w:sz w:val="32"/>
          <w:szCs w:val="32"/>
        </w:rPr>
        <w:t>，每日一次肌注或静注，连续10天以上；或大观霉素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g"/>
        </w:smartTagPr>
        <w:r w:rsidRPr="00352D86">
          <w:rPr>
            <w:rFonts w:ascii="仿宋_GB2312" w:eastAsia="仿宋_GB2312" w:hAnsi="华文仿宋" w:hint="eastAsia"/>
            <w:sz w:val="32"/>
            <w:szCs w:val="32"/>
          </w:rPr>
          <w:t>2.0g</w:t>
        </w:r>
      </w:smartTag>
      <w:r w:rsidRPr="00352D86">
        <w:rPr>
          <w:rFonts w:ascii="仿宋_GB2312" w:eastAsia="仿宋_GB2312" w:hAnsi="华文仿宋" w:hint="eastAsia"/>
          <w:sz w:val="32"/>
          <w:szCs w:val="32"/>
        </w:rPr>
        <w:t>，每日两次肌注，连续10天以上。</w:t>
      </w:r>
    </w:p>
    <w:p w:rsidR="00A44DE8" w:rsidRPr="00352D86" w:rsidRDefault="00A44DE8" w:rsidP="00A44DE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华文仿宋"/>
          <w:spacing w:val="-20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>2．对症治疗：淋菌性眼炎同时应用生理盐水冲洗眼部，</w:t>
      </w:r>
      <w:r w:rsidRPr="00352D86">
        <w:rPr>
          <w:rFonts w:ascii="仿宋_GB2312" w:eastAsia="仿宋_GB2312" w:hAnsi="华文仿宋" w:hint="eastAsia"/>
          <w:spacing w:val="-20"/>
          <w:sz w:val="32"/>
          <w:szCs w:val="32"/>
        </w:rPr>
        <w:t>每小时1次。冲洗后用1%硝酸银或0.5%</w:t>
      </w:r>
      <w:r>
        <w:rPr>
          <w:rFonts w:ascii="宋体" w:hAnsi="宋体" w:cs="宋体" w:hint="eastAsia"/>
          <w:sz w:val="32"/>
          <w:szCs w:val="32"/>
        </w:rPr>
        <w:t>–</w:t>
      </w:r>
      <w:r w:rsidRPr="00352D86">
        <w:rPr>
          <w:rFonts w:ascii="仿宋_GB2312" w:eastAsia="仿宋_GB2312" w:hAnsi="华文仿宋" w:hint="eastAsia"/>
          <w:spacing w:val="-20"/>
          <w:sz w:val="32"/>
          <w:szCs w:val="32"/>
        </w:rPr>
        <w:t>1%红霉素眼药水滴眼。</w:t>
      </w:r>
    </w:p>
    <w:p w:rsidR="00A44DE8" w:rsidRPr="00352D86" w:rsidRDefault="00A44DE8" w:rsidP="00A44DE8">
      <w:pPr>
        <w:autoSpaceDE w:val="0"/>
        <w:autoSpaceDN w:val="0"/>
        <w:adjustRightInd w:val="0"/>
        <w:ind w:firstLineChars="200" w:firstLine="640"/>
        <w:jc w:val="left"/>
        <w:rPr>
          <w:rFonts w:ascii="楷体_GB2312" w:eastAsia="楷体_GB2312" w:hAnsi="华文仿宋"/>
          <w:sz w:val="32"/>
          <w:szCs w:val="32"/>
        </w:rPr>
      </w:pPr>
      <w:r w:rsidRPr="00352D86">
        <w:rPr>
          <w:rFonts w:ascii="楷体_GB2312" w:eastAsia="楷体_GB2312" w:hAnsi="华文仿宋" w:hint="eastAsia"/>
          <w:sz w:val="32"/>
          <w:szCs w:val="32"/>
        </w:rPr>
        <w:t>（七）治疗后复查的检查项目。</w:t>
      </w:r>
    </w:p>
    <w:p w:rsidR="00A44DE8" w:rsidRPr="00352D86" w:rsidRDefault="00A44DE8" w:rsidP="00A44DE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>治疗结束后</w:t>
      </w:r>
      <w:r w:rsidRPr="00036CA2">
        <w:rPr>
          <w:rFonts w:ascii="仿宋_GB2312" w:eastAsia="仿宋_GB2312" w:hAnsi="华文仿宋" w:hint="eastAsia"/>
          <w:spacing w:val="-20"/>
          <w:sz w:val="32"/>
          <w:szCs w:val="32"/>
        </w:rPr>
        <w:t>4</w:t>
      </w:r>
      <w:r w:rsidRPr="00036CA2">
        <w:rPr>
          <w:rFonts w:ascii="宋体" w:hAnsi="宋体" w:cs="宋体" w:hint="eastAsia"/>
          <w:spacing w:val="-20"/>
          <w:sz w:val="32"/>
          <w:szCs w:val="32"/>
        </w:rPr>
        <w:t>–</w:t>
      </w:r>
      <w:r w:rsidRPr="00036CA2">
        <w:rPr>
          <w:rFonts w:ascii="仿宋_GB2312" w:eastAsia="仿宋_GB2312" w:hAnsi="华文仿宋" w:hint="eastAsia"/>
          <w:spacing w:val="-20"/>
          <w:sz w:val="32"/>
          <w:szCs w:val="32"/>
        </w:rPr>
        <w:t>7</w:t>
      </w:r>
      <w:r w:rsidRPr="00352D86">
        <w:rPr>
          <w:rFonts w:ascii="仿宋_GB2312" w:eastAsia="仿宋_GB2312" w:hAnsi="华文仿宋" w:hint="eastAsia"/>
          <w:sz w:val="32"/>
          <w:szCs w:val="32"/>
        </w:rPr>
        <w:t>天，</w:t>
      </w:r>
      <w:r w:rsidRPr="00036CA2">
        <w:rPr>
          <w:rFonts w:ascii="仿宋_GB2312" w:eastAsia="仿宋_GB2312" w:hAnsi="华文仿宋" w:hint="eastAsia"/>
          <w:spacing w:val="-20"/>
          <w:sz w:val="32"/>
          <w:szCs w:val="32"/>
        </w:rPr>
        <w:t>应</w:t>
      </w:r>
      <w:r>
        <w:rPr>
          <w:rFonts w:ascii="仿宋_GB2312" w:eastAsia="仿宋_GB2312" w:hAnsi="华文仿宋" w:hint="eastAsia"/>
          <w:spacing w:val="-20"/>
          <w:sz w:val="32"/>
          <w:szCs w:val="32"/>
        </w:rPr>
        <w:t>当</w:t>
      </w:r>
      <w:r w:rsidRPr="00036CA2">
        <w:rPr>
          <w:rFonts w:ascii="仿宋_GB2312" w:eastAsia="仿宋_GB2312" w:hAnsi="华文仿宋" w:hint="eastAsia"/>
          <w:spacing w:val="-20"/>
          <w:sz w:val="32"/>
          <w:szCs w:val="32"/>
        </w:rPr>
        <w:t>从患病部</w:t>
      </w:r>
      <w:r w:rsidRPr="00352D86">
        <w:rPr>
          <w:rFonts w:ascii="仿宋_GB2312" w:eastAsia="仿宋_GB2312" w:hAnsi="华文仿宋" w:hint="eastAsia"/>
          <w:sz w:val="32"/>
          <w:szCs w:val="32"/>
        </w:rPr>
        <w:t>位取材</w:t>
      </w:r>
      <w:r w:rsidRPr="00352D86">
        <w:rPr>
          <w:rFonts w:ascii="仿宋_GB2312" w:eastAsia="仿宋_GB2312" w:hAnsi="华文仿宋" w:hint="eastAsia"/>
          <w:spacing w:val="-20"/>
          <w:sz w:val="32"/>
          <w:szCs w:val="32"/>
        </w:rPr>
        <w:t>作淋球菌涂片和培养。</w:t>
      </w:r>
    </w:p>
    <w:p w:rsidR="00A44DE8" w:rsidRPr="00352D86" w:rsidRDefault="00A44DE8" w:rsidP="00A44DE8">
      <w:pPr>
        <w:tabs>
          <w:tab w:val="left" w:pos="630"/>
        </w:tabs>
        <w:autoSpaceDE w:val="0"/>
        <w:autoSpaceDN w:val="0"/>
        <w:adjustRightInd w:val="0"/>
        <w:jc w:val="left"/>
        <w:rPr>
          <w:rFonts w:ascii="楷体_GB2312" w:eastAsia="楷体_GB2312" w:hAnsi="华文仿宋"/>
          <w:sz w:val="32"/>
          <w:szCs w:val="32"/>
        </w:rPr>
      </w:pPr>
      <w:r w:rsidRPr="00352D86">
        <w:rPr>
          <w:rFonts w:ascii="楷体_GB2312" w:eastAsia="楷体_GB2312" w:hAnsi="华文仿宋" w:hint="eastAsia"/>
          <w:sz w:val="32"/>
          <w:szCs w:val="32"/>
        </w:rPr>
        <w:t xml:space="preserve">    （八）治愈标准。</w:t>
      </w:r>
    </w:p>
    <w:p w:rsidR="00A44DE8" w:rsidRPr="00352D86" w:rsidRDefault="00A44DE8" w:rsidP="00A44DE8">
      <w:pPr>
        <w:autoSpaceDE w:val="0"/>
        <w:autoSpaceDN w:val="0"/>
        <w:adjustRightInd w:val="0"/>
        <w:jc w:val="left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Pr="00352D86">
        <w:rPr>
          <w:rFonts w:ascii="仿宋_GB2312" w:eastAsia="仿宋_GB2312" w:hAnsi="华文仿宋" w:hint="eastAsia"/>
          <w:sz w:val="32"/>
          <w:szCs w:val="32"/>
        </w:rPr>
        <w:t>治疗结束后两周内，无性接触情况下符合以下标准：</w:t>
      </w:r>
    </w:p>
    <w:p w:rsidR="00A44DE8" w:rsidRPr="00352D86" w:rsidRDefault="00A44DE8" w:rsidP="00A44DE8">
      <w:pPr>
        <w:autoSpaceDE w:val="0"/>
        <w:autoSpaceDN w:val="0"/>
        <w:adjustRightInd w:val="0"/>
        <w:jc w:val="left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 xml:space="preserve">    1．症状和体征完全消失。</w:t>
      </w:r>
    </w:p>
    <w:p w:rsidR="00A44DE8" w:rsidRPr="00352D86" w:rsidRDefault="00A44DE8" w:rsidP="00A44DE8">
      <w:pPr>
        <w:autoSpaceDE w:val="0"/>
        <w:autoSpaceDN w:val="0"/>
        <w:adjustRightInd w:val="0"/>
        <w:jc w:val="left"/>
        <w:rPr>
          <w:rFonts w:ascii="仿宋_GB2312" w:eastAsia="仿宋_GB2312" w:hAnsi="华文仿宋"/>
          <w:spacing w:val="-20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 xml:space="preserve">    2．治疗结束后4</w:t>
      </w:r>
      <w:r>
        <w:rPr>
          <w:rFonts w:ascii="宋体" w:hAnsi="宋体" w:cs="宋体" w:hint="eastAsia"/>
          <w:sz w:val="32"/>
          <w:szCs w:val="32"/>
        </w:rPr>
        <w:t>–</w:t>
      </w:r>
      <w:r w:rsidRPr="00352D86">
        <w:rPr>
          <w:rFonts w:ascii="仿宋_GB2312" w:eastAsia="仿宋_GB2312" w:hAnsi="华文仿宋" w:hint="eastAsia"/>
          <w:sz w:val="32"/>
          <w:szCs w:val="32"/>
        </w:rPr>
        <w:t>7天从患病部位取材</w:t>
      </w:r>
      <w:r w:rsidRPr="00352D86">
        <w:rPr>
          <w:rFonts w:ascii="仿宋_GB2312" w:eastAsia="仿宋_GB2312" w:hAnsi="华文仿宋" w:hint="eastAsia"/>
          <w:spacing w:val="-20"/>
          <w:sz w:val="32"/>
          <w:szCs w:val="32"/>
        </w:rPr>
        <w:t>作淋球菌涂片和培养阴性。</w:t>
      </w:r>
    </w:p>
    <w:p w:rsidR="00A44DE8" w:rsidRPr="00352D86" w:rsidRDefault="00A44DE8" w:rsidP="00A44DE8">
      <w:pPr>
        <w:tabs>
          <w:tab w:val="left" w:pos="540"/>
        </w:tabs>
        <w:adjustRightInd w:val="0"/>
        <w:snapToGrid w:val="0"/>
        <w:spacing w:line="600" w:lineRule="exact"/>
        <w:rPr>
          <w:rFonts w:ascii="楷体_GB2312" w:eastAsia="楷体_GB2312" w:hAnsi="华文仿宋"/>
          <w:sz w:val="32"/>
          <w:szCs w:val="32"/>
        </w:rPr>
      </w:pPr>
      <w:r w:rsidRPr="00352D86">
        <w:rPr>
          <w:rFonts w:ascii="华文仿宋" w:eastAsia="华文仿宋" w:hAnsi="华文仿宋" w:hint="eastAsia"/>
          <w:sz w:val="32"/>
          <w:szCs w:val="32"/>
        </w:rPr>
        <w:t xml:space="preserve">    </w:t>
      </w:r>
      <w:r w:rsidRPr="00352D86">
        <w:rPr>
          <w:rFonts w:ascii="楷体_GB2312" w:eastAsia="楷体_GB2312" w:hAnsi="华文仿宋" w:hint="eastAsia"/>
          <w:sz w:val="32"/>
          <w:szCs w:val="32"/>
        </w:rPr>
        <w:t>（九）变异及原因分析。</w:t>
      </w:r>
    </w:p>
    <w:p w:rsidR="00A44DE8" w:rsidRDefault="00A44DE8" w:rsidP="00A44DE8">
      <w:pPr>
        <w:ind w:firstLineChars="200" w:firstLine="640"/>
        <w:jc w:val="left"/>
        <w:rPr>
          <w:rFonts w:ascii="仿宋_GB2312" w:eastAsia="仿宋_GB2312" w:hAnsi="华文仿宋"/>
          <w:sz w:val="32"/>
          <w:szCs w:val="32"/>
        </w:rPr>
      </w:pPr>
      <w:r w:rsidRPr="00352D86">
        <w:rPr>
          <w:rFonts w:ascii="仿宋_GB2312" w:eastAsia="仿宋_GB2312" w:hAnsi="华文仿宋" w:hint="eastAsia"/>
          <w:sz w:val="32"/>
          <w:szCs w:val="32"/>
        </w:rPr>
        <w:t>出现严重的并发症或严重的播散性淋病，需进一步处理或住院治疗。</w:t>
      </w:r>
    </w:p>
    <w:p w:rsidR="00A44DE8" w:rsidRPr="004A3875" w:rsidRDefault="00A44DE8" w:rsidP="00A44DE8">
      <w:pPr>
        <w:ind w:firstLineChars="200" w:firstLine="640"/>
        <w:jc w:val="left"/>
        <w:rPr>
          <w:rFonts w:ascii="黑体" w:eastAsia="黑体" w:hAnsi="华文仿宋"/>
          <w:b/>
          <w:sz w:val="32"/>
          <w:szCs w:val="32"/>
        </w:rPr>
      </w:pPr>
      <w:r>
        <w:rPr>
          <w:rFonts w:ascii="黑体" w:eastAsia="黑体" w:hAnsi="华文仿宋"/>
          <w:sz w:val="32"/>
          <w:szCs w:val="32"/>
        </w:rPr>
        <w:br w:type="page"/>
      </w:r>
      <w:r w:rsidRPr="004A3875">
        <w:rPr>
          <w:rFonts w:ascii="黑体" w:eastAsia="黑体" w:hAnsi="华文仿宋" w:hint="eastAsia"/>
          <w:sz w:val="32"/>
          <w:szCs w:val="32"/>
        </w:rPr>
        <w:lastRenderedPageBreak/>
        <w:t>二、淋病临床路径表单</w:t>
      </w:r>
    </w:p>
    <w:p w:rsidR="00A44DE8" w:rsidRPr="004A3875" w:rsidRDefault="00A44DE8" w:rsidP="00A44DE8">
      <w:pPr>
        <w:rPr>
          <w:rFonts w:ascii="宋体" w:hAnsi="宋体"/>
          <w:szCs w:val="21"/>
        </w:rPr>
      </w:pPr>
      <w:r w:rsidRPr="004A3875">
        <w:rPr>
          <w:rFonts w:ascii="宋体" w:hAnsi="宋体" w:hint="eastAsia"/>
          <w:szCs w:val="21"/>
        </w:rPr>
        <w:t>适用对象：</w:t>
      </w:r>
      <w:r w:rsidRPr="004A3875">
        <w:rPr>
          <w:rFonts w:ascii="宋体" w:hAnsi="宋体" w:hint="eastAsia"/>
          <w:b/>
          <w:bCs/>
          <w:szCs w:val="21"/>
        </w:rPr>
        <w:t>第一诊断为</w:t>
      </w:r>
      <w:r w:rsidRPr="004A3875">
        <w:rPr>
          <w:rFonts w:ascii="宋体" w:hAnsi="宋体" w:hint="eastAsia"/>
          <w:szCs w:val="21"/>
        </w:rPr>
        <w:t>淋病（</w:t>
      </w:r>
      <w:r w:rsidRPr="003037E0">
        <w:rPr>
          <w:rFonts w:ascii="宋体" w:hAnsi="宋体" w:hint="eastAsia"/>
          <w:szCs w:val="21"/>
        </w:rPr>
        <w:t>ICD-10：A54</w:t>
      </w:r>
      <w:r w:rsidRPr="004A3875">
        <w:rPr>
          <w:rFonts w:ascii="宋体" w:hAnsi="宋体" w:hint="eastAsia"/>
          <w:szCs w:val="21"/>
        </w:rPr>
        <w:t>）</w:t>
      </w:r>
    </w:p>
    <w:p w:rsidR="00A44DE8" w:rsidRPr="004A3875" w:rsidRDefault="00A44DE8" w:rsidP="00A44DE8">
      <w:pPr>
        <w:rPr>
          <w:rFonts w:ascii="宋体" w:hAnsi="宋体"/>
          <w:szCs w:val="21"/>
          <w:u w:val="single"/>
        </w:rPr>
      </w:pPr>
      <w:r w:rsidRPr="004A3875">
        <w:rPr>
          <w:rFonts w:ascii="宋体" w:hAnsi="宋体" w:hint="eastAsia"/>
          <w:szCs w:val="21"/>
        </w:rPr>
        <w:t>患者姓名：</w:t>
      </w:r>
      <w:r w:rsidRPr="004A3875">
        <w:rPr>
          <w:rFonts w:ascii="宋体" w:hAnsi="宋体" w:hint="eastAsia"/>
          <w:szCs w:val="21"/>
          <w:u w:val="single"/>
        </w:rPr>
        <w:t xml:space="preserve">          </w:t>
      </w:r>
      <w:r w:rsidRPr="004A3875">
        <w:rPr>
          <w:rFonts w:ascii="宋体" w:hAnsi="宋体" w:hint="eastAsia"/>
          <w:szCs w:val="21"/>
        </w:rPr>
        <w:t>性别：</w:t>
      </w:r>
      <w:r w:rsidRPr="004A3875"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 xml:space="preserve"> </w:t>
      </w:r>
      <w:r w:rsidRPr="004A3875">
        <w:rPr>
          <w:rFonts w:ascii="宋体" w:hAnsi="宋体" w:hint="eastAsia"/>
          <w:szCs w:val="21"/>
        </w:rPr>
        <w:t>年龄：</w:t>
      </w:r>
      <w:r w:rsidRPr="004A3875">
        <w:rPr>
          <w:rFonts w:ascii="宋体" w:hAnsi="宋体" w:hint="eastAsia"/>
          <w:szCs w:val="21"/>
          <w:u w:val="single"/>
        </w:rPr>
        <w:t xml:space="preserve">     </w:t>
      </w:r>
      <w:r w:rsidRPr="004A3875">
        <w:rPr>
          <w:rFonts w:ascii="宋体" w:hAnsi="宋体" w:hint="eastAsia"/>
          <w:szCs w:val="21"/>
        </w:rPr>
        <w:t xml:space="preserve">   门诊号：</w:t>
      </w:r>
      <w:r w:rsidRPr="004A3875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</w:t>
      </w:r>
      <w:r w:rsidRPr="004A3875">
        <w:rPr>
          <w:rFonts w:ascii="宋体" w:hAnsi="宋体" w:hint="eastAsia"/>
          <w:szCs w:val="21"/>
          <w:u w:val="single"/>
        </w:rPr>
        <w:t xml:space="preserve">     </w:t>
      </w:r>
    </w:p>
    <w:p w:rsidR="00A44DE8" w:rsidRPr="004A3875" w:rsidRDefault="00A44DE8" w:rsidP="00A44DE8">
      <w:pPr>
        <w:rPr>
          <w:rFonts w:ascii="宋体" w:hAnsi="宋体"/>
          <w:szCs w:val="21"/>
        </w:rPr>
      </w:pPr>
      <w:r w:rsidRPr="004A3875">
        <w:rPr>
          <w:rFonts w:ascii="宋体" w:hAnsi="宋体" w:hint="eastAsia"/>
          <w:szCs w:val="21"/>
        </w:rPr>
        <w:t>初诊日期：</w:t>
      </w:r>
      <w:r w:rsidRPr="004A3875">
        <w:rPr>
          <w:rFonts w:ascii="宋体" w:hAnsi="宋体" w:hint="eastAsia"/>
          <w:szCs w:val="21"/>
          <w:u w:val="single"/>
        </w:rPr>
        <w:t xml:space="preserve">     </w:t>
      </w:r>
      <w:r w:rsidRPr="004A3875">
        <w:rPr>
          <w:rFonts w:ascii="宋体" w:hAnsi="宋体" w:hint="eastAsia"/>
          <w:szCs w:val="21"/>
        </w:rPr>
        <w:t>年</w:t>
      </w:r>
      <w:r w:rsidRPr="004A3875">
        <w:rPr>
          <w:rFonts w:ascii="宋体" w:hAnsi="宋体" w:hint="eastAsia"/>
          <w:szCs w:val="21"/>
          <w:u w:val="single"/>
        </w:rPr>
        <w:t xml:space="preserve">    </w:t>
      </w:r>
      <w:r w:rsidRPr="004A3875">
        <w:rPr>
          <w:rFonts w:ascii="宋体" w:hAnsi="宋体" w:hint="eastAsia"/>
          <w:szCs w:val="21"/>
        </w:rPr>
        <w:t>月</w:t>
      </w:r>
      <w:r w:rsidRPr="004A3875">
        <w:rPr>
          <w:rFonts w:ascii="宋体" w:hAnsi="宋体" w:hint="eastAsia"/>
          <w:szCs w:val="21"/>
          <w:u w:val="single"/>
        </w:rPr>
        <w:t xml:space="preserve">    </w:t>
      </w:r>
      <w:r w:rsidRPr="004A3875">
        <w:rPr>
          <w:rFonts w:ascii="宋体" w:hAnsi="宋体" w:hint="eastAsia"/>
          <w:szCs w:val="21"/>
        </w:rPr>
        <w:t>日  标准门诊治疗周数：1</w:t>
      </w:r>
      <w:r w:rsidRPr="004A3875">
        <w:rPr>
          <w:rFonts w:ascii="宋体" w:hAnsi="宋体" w:hint="eastAsia"/>
          <w:color w:val="000000"/>
          <w:szCs w:val="21"/>
        </w:rPr>
        <w:t>–</w:t>
      </w:r>
      <w:r w:rsidRPr="004A3875">
        <w:rPr>
          <w:rFonts w:ascii="宋体" w:hAnsi="宋体" w:hint="eastAsia"/>
          <w:szCs w:val="21"/>
        </w:rPr>
        <w:t>2周</w:t>
      </w:r>
    </w:p>
    <w:tbl>
      <w:tblPr>
        <w:tblW w:w="8970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128"/>
        <w:gridCol w:w="4122"/>
      </w:tblGrid>
      <w:tr w:rsidR="00A44DE8" w:rsidRPr="00B80368" w:rsidTr="007E5C87">
        <w:trPr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4DE8" w:rsidRPr="00B80368" w:rsidRDefault="00A44DE8" w:rsidP="007E5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80368"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4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DE8" w:rsidRPr="00B80368" w:rsidRDefault="00A44DE8" w:rsidP="007E5C87">
            <w:pPr>
              <w:spacing w:line="360" w:lineRule="exact"/>
              <w:ind w:rightChars="-51" w:right="-107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80368">
              <w:rPr>
                <w:rFonts w:ascii="宋体" w:hAnsi="宋体" w:hint="eastAsia"/>
                <w:b/>
                <w:bCs/>
                <w:szCs w:val="21"/>
              </w:rPr>
              <w:t>门诊第1天</w:t>
            </w:r>
          </w:p>
        </w:tc>
        <w:tc>
          <w:tcPr>
            <w:tcW w:w="4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4DE8" w:rsidRPr="00B80368" w:rsidRDefault="00A44DE8" w:rsidP="007E5C87">
            <w:pPr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  <w:u w:val="single"/>
              </w:rPr>
            </w:pPr>
            <w:r w:rsidRPr="00B80368">
              <w:rPr>
                <w:rFonts w:ascii="宋体" w:hAnsi="宋体" w:hint="eastAsia"/>
                <w:b/>
                <w:bCs/>
                <w:szCs w:val="21"/>
              </w:rPr>
              <w:t>门诊第7</w:t>
            </w:r>
            <w:r>
              <w:rPr>
                <w:rFonts w:ascii="宋体" w:hAnsi="宋体" w:hint="eastAsia"/>
                <w:b/>
                <w:bCs/>
                <w:szCs w:val="21"/>
              </w:rPr>
              <w:t>–</w:t>
            </w:r>
            <w:r w:rsidRPr="00B80368">
              <w:rPr>
                <w:rFonts w:ascii="宋体" w:hAnsi="宋体" w:hint="eastAsia"/>
                <w:b/>
                <w:bCs/>
                <w:szCs w:val="21"/>
              </w:rPr>
              <w:t>14天</w:t>
            </w:r>
          </w:p>
        </w:tc>
      </w:tr>
      <w:tr w:rsidR="00A44DE8" w:rsidRPr="00B80368" w:rsidTr="007E5C87">
        <w:trPr>
          <w:trHeight w:val="2154"/>
          <w:jc w:val="center"/>
        </w:trPr>
        <w:tc>
          <w:tcPr>
            <w:tcW w:w="7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DE8" w:rsidRPr="00B80368" w:rsidRDefault="00A44DE8" w:rsidP="007E5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80368">
              <w:rPr>
                <w:rFonts w:ascii="宋体" w:hAnsi="宋体" w:hint="eastAsia"/>
                <w:b/>
                <w:bCs/>
                <w:szCs w:val="21"/>
              </w:rPr>
              <w:t>主</w:t>
            </w:r>
          </w:p>
          <w:p w:rsidR="00A44DE8" w:rsidRPr="00B80368" w:rsidRDefault="00A44DE8" w:rsidP="007E5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80368">
              <w:rPr>
                <w:rFonts w:ascii="宋体" w:hAnsi="宋体" w:hint="eastAsia"/>
                <w:b/>
                <w:bCs/>
                <w:szCs w:val="21"/>
              </w:rPr>
              <w:t>要</w:t>
            </w:r>
          </w:p>
          <w:p w:rsidR="00A44DE8" w:rsidRPr="00B80368" w:rsidRDefault="00A44DE8" w:rsidP="007E5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80368">
              <w:rPr>
                <w:rFonts w:ascii="宋体" w:hAnsi="宋体" w:hint="eastAsia"/>
                <w:b/>
                <w:bCs/>
                <w:szCs w:val="21"/>
              </w:rPr>
              <w:t>诊</w:t>
            </w:r>
          </w:p>
          <w:p w:rsidR="00A44DE8" w:rsidRPr="00B80368" w:rsidRDefault="00A44DE8" w:rsidP="007E5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80368">
              <w:rPr>
                <w:rFonts w:ascii="宋体" w:hAnsi="宋体" w:hint="eastAsia"/>
                <w:b/>
                <w:bCs/>
                <w:szCs w:val="21"/>
              </w:rPr>
              <w:t>疗</w:t>
            </w:r>
          </w:p>
          <w:p w:rsidR="00A44DE8" w:rsidRPr="00B80368" w:rsidRDefault="00A44DE8" w:rsidP="007E5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80368">
              <w:rPr>
                <w:rFonts w:ascii="宋体" w:hAnsi="宋体" w:hint="eastAsia"/>
                <w:b/>
                <w:bCs/>
                <w:szCs w:val="21"/>
              </w:rPr>
              <w:t>工</w:t>
            </w:r>
          </w:p>
          <w:p w:rsidR="00A44DE8" w:rsidRPr="00B80368" w:rsidRDefault="00A44DE8" w:rsidP="007E5C87">
            <w:pPr>
              <w:jc w:val="center"/>
              <w:rPr>
                <w:rFonts w:ascii="宋体" w:hAnsi="宋体"/>
                <w:b/>
                <w:bCs/>
                <w:szCs w:val="21"/>
                <w:u w:val="single"/>
              </w:rPr>
            </w:pPr>
            <w:r w:rsidRPr="00B80368">
              <w:rPr>
                <w:rFonts w:ascii="宋体" w:hAnsi="宋体" w:hint="eastAsia"/>
                <w:b/>
                <w:bCs/>
                <w:szCs w:val="21"/>
              </w:rPr>
              <w:t>作</w:t>
            </w:r>
          </w:p>
        </w:tc>
        <w:tc>
          <w:tcPr>
            <w:tcW w:w="412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DE8" w:rsidRPr="00B80368" w:rsidRDefault="00A44DE8" w:rsidP="007E5C87">
            <w:pPr>
              <w:spacing w:line="360" w:lineRule="exact"/>
              <w:rPr>
                <w:rFonts w:ascii="宋体" w:hAnsi="宋体"/>
                <w:szCs w:val="21"/>
              </w:rPr>
            </w:pPr>
            <w:r w:rsidRPr="00B80368">
              <w:rPr>
                <w:rFonts w:ascii="宋体" w:hAnsi="宋体" w:hint="eastAsia"/>
                <w:szCs w:val="21"/>
              </w:rPr>
              <w:t>□ 询问病史及体格检查</w:t>
            </w:r>
          </w:p>
          <w:p w:rsidR="00A44DE8" w:rsidRPr="00B80368" w:rsidRDefault="00A44DE8" w:rsidP="007E5C87">
            <w:pPr>
              <w:spacing w:line="360" w:lineRule="exact"/>
              <w:rPr>
                <w:rFonts w:ascii="宋体" w:hAnsi="宋体"/>
                <w:szCs w:val="21"/>
              </w:rPr>
            </w:pPr>
            <w:r w:rsidRPr="00B80368">
              <w:rPr>
                <w:rFonts w:ascii="宋体" w:hAnsi="宋体" w:hint="eastAsia"/>
                <w:szCs w:val="21"/>
              </w:rPr>
              <w:t>□ 完成首次门诊病史</w:t>
            </w:r>
          </w:p>
          <w:p w:rsidR="00A44DE8" w:rsidRPr="00B80368" w:rsidRDefault="00A44DE8" w:rsidP="007E5C87">
            <w:pPr>
              <w:spacing w:line="360" w:lineRule="exact"/>
              <w:rPr>
                <w:rFonts w:ascii="宋体" w:hAnsi="宋体"/>
                <w:szCs w:val="21"/>
              </w:rPr>
            </w:pPr>
            <w:r w:rsidRPr="00B80368">
              <w:rPr>
                <w:rFonts w:ascii="宋体" w:hAnsi="宋体" w:hint="eastAsia"/>
                <w:szCs w:val="21"/>
              </w:rPr>
              <w:t>□ 完成初步的病情评估和治疗方案</w:t>
            </w:r>
          </w:p>
          <w:p w:rsidR="00A44DE8" w:rsidRPr="00B80368" w:rsidRDefault="00A44DE8" w:rsidP="007E5C87">
            <w:pPr>
              <w:spacing w:line="360" w:lineRule="exact"/>
              <w:rPr>
                <w:rFonts w:ascii="宋体" w:hAnsi="宋体"/>
                <w:szCs w:val="21"/>
              </w:rPr>
            </w:pPr>
            <w:r w:rsidRPr="00B80368">
              <w:rPr>
                <w:rFonts w:ascii="宋体" w:hAnsi="宋体" w:hint="eastAsia"/>
                <w:szCs w:val="21"/>
              </w:rPr>
              <w:t>□ 开具</w:t>
            </w:r>
            <w:r w:rsidRPr="00B80368">
              <w:rPr>
                <w:rFonts w:ascii="宋体" w:hAnsi="宋体" w:hint="eastAsia"/>
                <w:kern w:val="0"/>
                <w:szCs w:val="21"/>
              </w:rPr>
              <w:t>淋球菌涂片和培养的</w:t>
            </w:r>
            <w:r w:rsidRPr="00B80368">
              <w:rPr>
                <w:rFonts w:ascii="宋体" w:hAnsi="宋体" w:hint="eastAsia"/>
                <w:szCs w:val="21"/>
              </w:rPr>
              <w:t>检查申请单</w:t>
            </w:r>
          </w:p>
          <w:p w:rsidR="00A44DE8" w:rsidRPr="00B80368" w:rsidRDefault="00A44DE8" w:rsidP="007E5C87">
            <w:pPr>
              <w:spacing w:line="360" w:lineRule="exact"/>
              <w:rPr>
                <w:rFonts w:ascii="宋体" w:hAnsi="宋体"/>
                <w:szCs w:val="21"/>
              </w:rPr>
            </w:pPr>
            <w:r w:rsidRPr="00B80368">
              <w:rPr>
                <w:rFonts w:ascii="宋体" w:hAnsi="宋体" w:hint="eastAsia"/>
                <w:szCs w:val="21"/>
              </w:rPr>
              <w:t>□ 开具其他需要的辅助检查（必要时）</w:t>
            </w:r>
          </w:p>
          <w:p w:rsidR="00A44DE8" w:rsidRPr="00B80368" w:rsidRDefault="00A44DE8" w:rsidP="007E5C87">
            <w:pPr>
              <w:spacing w:line="360" w:lineRule="exact"/>
              <w:ind w:left="315" w:hangingChars="150" w:hanging="315"/>
              <w:rPr>
                <w:rFonts w:ascii="宋体" w:hAnsi="宋体"/>
                <w:szCs w:val="21"/>
              </w:rPr>
            </w:pPr>
            <w:r w:rsidRPr="00B80368">
              <w:rPr>
                <w:rFonts w:ascii="宋体" w:hAnsi="宋体" w:hint="eastAsia"/>
                <w:szCs w:val="21"/>
              </w:rPr>
              <w:t>□ 与患者或家属谈话明确诊疗计划和性伴防治的方案</w:t>
            </w:r>
          </w:p>
          <w:p w:rsidR="00A44DE8" w:rsidRPr="00B80368" w:rsidRDefault="00A44DE8" w:rsidP="007E5C87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DE8" w:rsidRPr="00B80368" w:rsidRDefault="00A44DE8" w:rsidP="007E5C87">
            <w:pPr>
              <w:spacing w:line="360" w:lineRule="exact"/>
              <w:rPr>
                <w:rFonts w:ascii="宋体" w:hAnsi="宋体"/>
                <w:szCs w:val="21"/>
              </w:rPr>
            </w:pPr>
            <w:r w:rsidRPr="00B80368">
              <w:rPr>
                <w:rFonts w:ascii="宋体" w:hAnsi="宋体" w:hint="eastAsia"/>
                <w:szCs w:val="21"/>
              </w:rPr>
              <w:t>□ 询问病史及体格检查</w:t>
            </w:r>
          </w:p>
          <w:p w:rsidR="00A44DE8" w:rsidRPr="00B80368" w:rsidRDefault="00A44DE8" w:rsidP="007E5C87">
            <w:pPr>
              <w:spacing w:line="360" w:lineRule="exact"/>
              <w:ind w:left="315" w:hangingChars="150" w:hanging="315"/>
              <w:rPr>
                <w:rFonts w:ascii="宋体" w:hAnsi="宋体"/>
                <w:szCs w:val="21"/>
              </w:rPr>
            </w:pPr>
            <w:r w:rsidRPr="00B80368">
              <w:rPr>
                <w:rFonts w:ascii="宋体" w:hAnsi="宋体" w:hint="eastAsia"/>
                <w:szCs w:val="21"/>
              </w:rPr>
              <w:t>□ 根据体检和实验室检查，完成疗效评估，调整治疗方案</w:t>
            </w:r>
          </w:p>
        </w:tc>
      </w:tr>
      <w:tr w:rsidR="00A44DE8" w:rsidRPr="00B80368" w:rsidTr="007E5C87">
        <w:trPr>
          <w:trHeight w:val="3513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DE8" w:rsidRPr="00B80368" w:rsidRDefault="00A44DE8" w:rsidP="007E5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80368">
              <w:rPr>
                <w:rFonts w:ascii="宋体" w:hAnsi="宋体" w:hint="eastAsia"/>
                <w:b/>
                <w:bCs/>
                <w:szCs w:val="21"/>
              </w:rPr>
              <w:t>重</w:t>
            </w:r>
          </w:p>
          <w:p w:rsidR="00A44DE8" w:rsidRPr="00B80368" w:rsidRDefault="00A44DE8" w:rsidP="007E5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80368">
              <w:rPr>
                <w:rFonts w:ascii="宋体" w:hAnsi="宋体" w:hint="eastAsia"/>
                <w:b/>
                <w:bCs/>
                <w:szCs w:val="21"/>
              </w:rPr>
              <w:t>点</w:t>
            </w:r>
          </w:p>
          <w:p w:rsidR="00A44DE8" w:rsidRPr="00B80368" w:rsidRDefault="00A44DE8" w:rsidP="007E5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80368">
              <w:rPr>
                <w:rFonts w:ascii="宋体" w:hAnsi="宋体" w:hint="eastAsia"/>
                <w:b/>
                <w:bCs/>
                <w:szCs w:val="21"/>
              </w:rPr>
              <w:t>医</w:t>
            </w:r>
          </w:p>
          <w:p w:rsidR="00A44DE8" w:rsidRPr="00B80368" w:rsidRDefault="00A44DE8" w:rsidP="007E5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80368">
              <w:rPr>
                <w:rFonts w:ascii="宋体" w:hAnsi="宋体" w:hint="eastAsia"/>
                <w:b/>
                <w:bCs/>
                <w:szCs w:val="21"/>
              </w:rPr>
              <w:t>嘱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DE8" w:rsidRPr="00B80368" w:rsidRDefault="00A44DE8" w:rsidP="007E5C87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B80368">
              <w:rPr>
                <w:rFonts w:ascii="宋体" w:hAnsi="宋体" w:hint="eastAsia"/>
                <w:b/>
                <w:szCs w:val="21"/>
              </w:rPr>
              <w:t>门诊医嘱：</w:t>
            </w:r>
          </w:p>
          <w:p w:rsidR="00A44DE8" w:rsidRPr="00B80368" w:rsidRDefault="00A44DE8" w:rsidP="007E5C87">
            <w:pPr>
              <w:spacing w:line="360" w:lineRule="exact"/>
              <w:ind w:left="315" w:hangingChars="150" w:hanging="315"/>
              <w:rPr>
                <w:rFonts w:ascii="宋体" w:hAnsi="宋体"/>
                <w:kern w:val="0"/>
                <w:szCs w:val="21"/>
              </w:rPr>
            </w:pPr>
            <w:r w:rsidRPr="00B80368">
              <w:rPr>
                <w:rFonts w:ascii="宋体" w:hAnsi="宋体" w:hint="eastAsia"/>
                <w:szCs w:val="21"/>
              </w:rPr>
              <w:t xml:space="preserve">□ </w:t>
            </w:r>
            <w:r w:rsidRPr="00B80368">
              <w:rPr>
                <w:rFonts w:ascii="宋体" w:hAnsi="宋体" w:hint="eastAsia"/>
                <w:kern w:val="0"/>
                <w:szCs w:val="21"/>
              </w:rPr>
              <w:t>抗生素（视病情和有无合并症而定）：头孢曲松、大观霉素、头孢噻肟等</w:t>
            </w:r>
          </w:p>
          <w:p w:rsidR="00A44DE8" w:rsidRPr="00B80368" w:rsidRDefault="00A44DE8" w:rsidP="007E5C87">
            <w:pPr>
              <w:spacing w:line="360" w:lineRule="exact"/>
              <w:rPr>
                <w:rFonts w:ascii="宋体" w:hAnsi="宋体"/>
                <w:kern w:val="0"/>
                <w:szCs w:val="21"/>
              </w:rPr>
            </w:pPr>
            <w:r w:rsidRPr="00B80368">
              <w:rPr>
                <w:rFonts w:ascii="宋体" w:hAnsi="宋体" w:hint="eastAsia"/>
                <w:szCs w:val="21"/>
              </w:rPr>
              <w:t xml:space="preserve">□ </w:t>
            </w:r>
            <w:r w:rsidRPr="00B80368">
              <w:rPr>
                <w:rFonts w:ascii="宋体" w:hAnsi="宋体" w:hint="eastAsia"/>
                <w:kern w:val="0"/>
                <w:szCs w:val="21"/>
              </w:rPr>
              <w:t>对症治疗（视病情）</w:t>
            </w:r>
          </w:p>
          <w:p w:rsidR="00A44DE8" w:rsidRPr="00B80368" w:rsidRDefault="00A44DE8" w:rsidP="007E5C87">
            <w:pPr>
              <w:spacing w:line="360" w:lineRule="exact"/>
              <w:ind w:left="315" w:hangingChars="150" w:hanging="315"/>
              <w:rPr>
                <w:rFonts w:ascii="宋体" w:hAnsi="宋体"/>
                <w:szCs w:val="21"/>
              </w:rPr>
            </w:pPr>
            <w:r w:rsidRPr="00B80368">
              <w:rPr>
                <w:rFonts w:ascii="宋体" w:hAnsi="宋体" w:hint="eastAsia"/>
                <w:szCs w:val="21"/>
              </w:rPr>
              <w:t xml:space="preserve">□ </w:t>
            </w:r>
            <w:r w:rsidRPr="00B80368">
              <w:rPr>
                <w:rFonts w:ascii="宋体" w:hAnsi="宋体" w:hint="eastAsia"/>
                <w:kern w:val="0"/>
                <w:szCs w:val="21"/>
              </w:rPr>
              <w:t>必需的检查项目：男性取尿道口分泌物、女性取宫颈口分泌物或其他患处分泌物行淋球菌涂片和培养</w:t>
            </w:r>
          </w:p>
          <w:p w:rsidR="00A44DE8" w:rsidRPr="00B80368" w:rsidRDefault="00A44DE8" w:rsidP="007E5C87">
            <w:pPr>
              <w:spacing w:line="360" w:lineRule="exact"/>
              <w:ind w:left="315" w:hangingChars="150" w:hanging="315"/>
              <w:rPr>
                <w:rFonts w:ascii="宋体" w:hAnsi="宋体"/>
                <w:szCs w:val="21"/>
              </w:rPr>
            </w:pPr>
            <w:r w:rsidRPr="00B80368">
              <w:rPr>
                <w:rFonts w:ascii="宋体" w:hAnsi="宋体" w:hint="eastAsia"/>
                <w:szCs w:val="21"/>
              </w:rPr>
              <w:t xml:space="preserve">□ </w:t>
            </w:r>
            <w:r w:rsidRPr="00B80368">
              <w:rPr>
                <w:rFonts w:ascii="宋体" w:hAnsi="宋体" w:hint="eastAsia"/>
                <w:kern w:val="0"/>
                <w:szCs w:val="21"/>
              </w:rPr>
              <w:t>根据患者病情选择的项目：淋球菌的药物敏感试验、</w:t>
            </w:r>
            <w:r w:rsidRPr="00B80368">
              <w:rPr>
                <w:rFonts w:ascii="宋体" w:hAnsi="宋体" w:hint="eastAsia"/>
                <w:szCs w:val="21"/>
              </w:rPr>
              <w:t>衣原体、支原体、艾滋病病毒、梅毒螺旋体的检测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DE8" w:rsidRPr="00B80368" w:rsidRDefault="00A44DE8" w:rsidP="007E5C87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B80368">
              <w:rPr>
                <w:rFonts w:ascii="宋体" w:hAnsi="宋体" w:hint="eastAsia"/>
                <w:b/>
                <w:szCs w:val="21"/>
              </w:rPr>
              <w:t>门诊医嘱：</w:t>
            </w:r>
          </w:p>
          <w:p w:rsidR="00A44DE8" w:rsidRPr="00B80368" w:rsidRDefault="00A44DE8" w:rsidP="007E5C87">
            <w:pPr>
              <w:spacing w:line="360" w:lineRule="exact"/>
              <w:ind w:left="315" w:hangingChars="150" w:hanging="315"/>
              <w:rPr>
                <w:rFonts w:ascii="宋体" w:hAnsi="宋体"/>
                <w:szCs w:val="21"/>
              </w:rPr>
            </w:pPr>
            <w:r w:rsidRPr="00B80368">
              <w:rPr>
                <w:rFonts w:ascii="宋体" w:hAnsi="宋体" w:hint="eastAsia"/>
                <w:szCs w:val="21"/>
              </w:rPr>
              <w:t xml:space="preserve">□ </w:t>
            </w:r>
            <w:r w:rsidRPr="00B80368">
              <w:rPr>
                <w:rFonts w:ascii="宋体" w:hAnsi="宋体" w:hint="eastAsia"/>
                <w:kern w:val="0"/>
                <w:szCs w:val="21"/>
              </w:rPr>
              <w:t>从患病部位取分泌物行淋球菌涂片和培养，必要时根据检验结果调整治疗方案</w:t>
            </w:r>
          </w:p>
          <w:p w:rsidR="00A44DE8" w:rsidRPr="00B80368" w:rsidRDefault="00A44DE8" w:rsidP="007E5C87">
            <w:pPr>
              <w:spacing w:line="360" w:lineRule="exact"/>
              <w:ind w:left="315" w:hangingChars="150" w:hanging="315"/>
              <w:rPr>
                <w:rFonts w:ascii="宋体" w:hAnsi="宋体"/>
                <w:szCs w:val="21"/>
              </w:rPr>
            </w:pPr>
            <w:r w:rsidRPr="00B80368">
              <w:rPr>
                <w:rFonts w:ascii="宋体" w:hAnsi="宋体" w:hint="eastAsia"/>
                <w:szCs w:val="21"/>
              </w:rPr>
              <w:t xml:space="preserve">□ </w:t>
            </w:r>
            <w:r w:rsidRPr="00B80368">
              <w:rPr>
                <w:rFonts w:ascii="宋体" w:hAnsi="宋体" w:hint="eastAsia"/>
                <w:kern w:val="0"/>
                <w:szCs w:val="21"/>
              </w:rPr>
              <w:t>根据患者病情选择的项目：淋球菌的药物敏感试验、衣原体的检测和支原体的培养</w:t>
            </w:r>
          </w:p>
          <w:p w:rsidR="00A44DE8" w:rsidRPr="00B80368" w:rsidRDefault="00A44DE8" w:rsidP="007E5C87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A44DE8" w:rsidRPr="00B80368" w:rsidTr="007E5C87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DE8" w:rsidRPr="00B80368" w:rsidRDefault="00A44DE8" w:rsidP="007E5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80368">
              <w:rPr>
                <w:rFonts w:ascii="宋体" w:hAnsi="宋体" w:hint="eastAsia"/>
                <w:b/>
                <w:bCs/>
                <w:szCs w:val="21"/>
              </w:rPr>
              <w:t>病情</w:t>
            </w:r>
          </w:p>
          <w:p w:rsidR="00A44DE8" w:rsidRPr="00B80368" w:rsidRDefault="00A44DE8" w:rsidP="007E5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80368">
              <w:rPr>
                <w:rFonts w:ascii="宋体" w:hAnsi="宋体" w:hint="eastAsia"/>
                <w:b/>
                <w:bCs/>
                <w:szCs w:val="21"/>
              </w:rPr>
              <w:t>变异</w:t>
            </w:r>
          </w:p>
          <w:p w:rsidR="00A44DE8" w:rsidRPr="00B80368" w:rsidRDefault="00A44DE8" w:rsidP="007E5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80368">
              <w:rPr>
                <w:rFonts w:ascii="宋体" w:hAnsi="宋体" w:hint="eastAsia"/>
                <w:b/>
                <w:bCs/>
                <w:szCs w:val="21"/>
              </w:rPr>
              <w:t>记录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DE8" w:rsidRPr="00B80368" w:rsidRDefault="00A44DE8" w:rsidP="007E5C87">
            <w:pPr>
              <w:spacing w:line="360" w:lineRule="exact"/>
              <w:rPr>
                <w:rFonts w:ascii="宋体" w:hAnsi="宋体"/>
                <w:szCs w:val="21"/>
              </w:rPr>
            </w:pPr>
            <w:r w:rsidRPr="00B80368">
              <w:rPr>
                <w:rFonts w:ascii="宋体" w:hAnsi="宋体" w:hint="eastAsia"/>
                <w:szCs w:val="21"/>
              </w:rPr>
              <w:t>□无  □有，原因：</w:t>
            </w:r>
          </w:p>
          <w:p w:rsidR="00A44DE8" w:rsidRPr="00B80368" w:rsidRDefault="00A44DE8" w:rsidP="007E5C87">
            <w:pPr>
              <w:spacing w:line="360" w:lineRule="exact"/>
              <w:rPr>
                <w:rFonts w:ascii="宋体" w:hAnsi="宋体"/>
                <w:szCs w:val="21"/>
              </w:rPr>
            </w:pPr>
            <w:r w:rsidRPr="00B80368">
              <w:rPr>
                <w:rFonts w:ascii="宋体" w:hAnsi="宋体" w:hint="eastAsia"/>
                <w:szCs w:val="21"/>
              </w:rPr>
              <w:t>1.</w:t>
            </w:r>
          </w:p>
          <w:p w:rsidR="00A44DE8" w:rsidRPr="00B80368" w:rsidRDefault="00A44DE8" w:rsidP="007E5C87">
            <w:pPr>
              <w:spacing w:line="360" w:lineRule="exact"/>
              <w:rPr>
                <w:rFonts w:ascii="宋体" w:hAnsi="宋体"/>
                <w:szCs w:val="21"/>
                <w:u w:val="single"/>
              </w:rPr>
            </w:pPr>
            <w:r w:rsidRPr="00B80368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DE8" w:rsidRPr="00B80368" w:rsidRDefault="00A44DE8" w:rsidP="007E5C87">
            <w:pPr>
              <w:spacing w:line="360" w:lineRule="exact"/>
              <w:rPr>
                <w:rFonts w:ascii="宋体" w:hAnsi="宋体"/>
                <w:szCs w:val="21"/>
              </w:rPr>
            </w:pPr>
            <w:r w:rsidRPr="00B80368">
              <w:rPr>
                <w:rFonts w:ascii="宋体" w:hAnsi="宋体" w:hint="eastAsia"/>
                <w:szCs w:val="21"/>
              </w:rPr>
              <w:t>□无  □有，原因：</w:t>
            </w:r>
          </w:p>
          <w:p w:rsidR="00A44DE8" w:rsidRPr="00B80368" w:rsidRDefault="00A44DE8" w:rsidP="007E5C87">
            <w:pPr>
              <w:spacing w:line="360" w:lineRule="exact"/>
              <w:rPr>
                <w:rFonts w:ascii="宋体" w:hAnsi="宋体"/>
                <w:szCs w:val="21"/>
              </w:rPr>
            </w:pPr>
            <w:r w:rsidRPr="00B80368">
              <w:rPr>
                <w:rFonts w:ascii="宋体" w:hAnsi="宋体" w:hint="eastAsia"/>
                <w:szCs w:val="21"/>
              </w:rPr>
              <w:t>1.</w:t>
            </w:r>
          </w:p>
          <w:p w:rsidR="00A44DE8" w:rsidRPr="00B80368" w:rsidRDefault="00A44DE8" w:rsidP="007E5C87">
            <w:pPr>
              <w:spacing w:line="360" w:lineRule="exact"/>
              <w:rPr>
                <w:rFonts w:ascii="宋体" w:hAnsi="宋体"/>
                <w:szCs w:val="21"/>
                <w:u w:val="single"/>
              </w:rPr>
            </w:pPr>
            <w:r w:rsidRPr="00B80368"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A44DE8" w:rsidRPr="00B80368" w:rsidTr="007E5C87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DE8" w:rsidRPr="00B80368" w:rsidRDefault="00A44DE8" w:rsidP="007E5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80368">
              <w:rPr>
                <w:rFonts w:ascii="宋体" w:hAnsi="宋体" w:hint="eastAsia"/>
                <w:b/>
                <w:bCs/>
                <w:szCs w:val="21"/>
              </w:rPr>
              <w:t>医师</w:t>
            </w:r>
          </w:p>
          <w:p w:rsidR="00A44DE8" w:rsidRPr="00B80368" w:rsidRDefault="00A44DE8" w:rsidP="007E5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B80368">
              <w:rPr>
                <w:rFonts w:ascii="宋体" w:hAnsi="宋体" w:hint="eastAsia"/>
                <w:b/>
                <w:bCs/>
                <w:szCs w:val="21"/>
              </w:rPr>
              <w:t>签名</w:t>
            </w:r>
          </w:p>
        </w:tc>
        <w:tc>
          <w:tcPr>
            <w:tcW w:w="4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DE8" w:rsidRPr="00B80368" w:rsidRDefault="00A44DE8" w:rsidP="007E5C87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DE8" w:rsidRPr="00B80368" w:rsidRDefault="00A44DE8" w:rsidP="007E5C87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A44DE8" w:rsidRPr="004A3875" w:rsidRDefault="00A44DE8" w:rsidP="00A44DE8">
      <w:pPr>
        <w:tabs>
          <w:tab w:val="left" w:pos="540"/>
        </w:tabs>
        <w:adjustRightInd w:val="0"/>
        <w:snapToGrid w:val="0"/>
        <w:spacing w:line="600" w:lineRule="exact"/>
        <w:ind w:firstLineChars="200" w:firstLine="360"/>
        <w:rPr>
          <w:rFonts w:ascii="宋体" w:hAnsi="宋体"/>
          <w:sz w:val="18"/>
          <w:szCs w:val="18"/>
        </w:rPr>
      </w:pPr>
    </w:p>
    <w:p w:rsidR="00A44DE8" w:rsidRDefault="00A44DE8" w:rsidP="00A44DE8"/>
    <w:p w:rsidR="00A44DE8" w:rsidRDefault="00A44DE8" w:rsidP="00A44DE8"/>
    <w:p w:rsidR="00A44DE8" w:rsidRDefault="00A44DE8" w:rsidP="00A44DE8"/>
    <w:p w:rsidR="00A44DE8" w:rsidRDefault="00A44DE8" w:rsidP="00A44DE8"/>
    <w:p w:rsidR="00B04140" w:rsidRPr="00A44DE8" w:rsidRDefault="00B04140" w:rsidP="00A44DE8"/>
    <w:sectPr w:rsidR="00B04140" w:rsidRPr="00A44DE8" w:rsidSect="00B04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54A17"/>
    <w:multiLevelType w:val="hybridMultilevel"/>
    <w:tmpl w:val="2216E78C"/>
    <w:lvl w:ilvl="0" w:tplc="ECA297E2">
      <w:start w:val="1"/>
      <w:numFmt w:val="decimalEnclosedCircle"/>
      <w:lvlText w:val="%1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4A44"/>
    <w:rsid w:val="00434A44"/>
    <w:rsid w:val="00A44DE8"/>
    <w:rsid w:val="00B0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banlang</dc:creator>
  <cp:lastModifiedBy>banlang</cp:lastModifiedBy>
  <cp:revision>2</cp:revision>
  <dcterms:created xsi:type="dcterms:W3CDTF">2017-03-06T05:39:00Z</dcterms:created>
  <dcterms:modified xsi:type="dcterms:W3CDTF">2017-03-06T05:39:00Z</dcterms:modified>
</cp:coreProperties>
</file>