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A2" w:rsidRDefault="0012599C" w:rsidP="00DA3D86">
      <w:pPr>
        <w:pStyle w:val="a9"/>
        <w:rPr>
          <w:sz w:val="44"/>
        </w:rPr>
      </w:pPr>
      <w:r w:rsidRPr="00DA3D86">
        <w:rPr>
          <w:rFonts w:hint="eastAsia"/>
          <w:sz w:val="44"/>
        </w:rPr>
        <w:t>职业性慢性正己烷中毒临床路径</w:t>
      </w:r>
    </w:p>
    <w:p w:rsidR="00E00259" w:rsidRDefault="00E00259" w:rsidP="00E00259">
      <w:pPr>
        <w:pStyle w:val="aa"/>
        <w:rPr>
          <w:rFonts w:ascii="仿宋_GB2312" w:eastAsia="仿宋_GB2312"/>
          <w:b w:val="0"/>
        </w:rPr>
      </w:pPr>
      <w:r w:rsidRPr="005A03AF">
        <w:rPr>
          <w:rFonts w:ascii="仿宋_GB2312" w:eastAsia="仿宋_GB2312" w:hint="eastAsia"/>
          <w:b w:val="0"/>
        </w:rPr>
        <w:t>(2016年版)</w:t>
      </w:r>
    </w:p>
    <w:p w:rsidR="009A0801" w:rsidRPr="009A0801" w:rsidRDefault="009A0801" w:rsidP="009A0801">
      <w:pPr>
        <w:rPr>
          <w:rFonts w:hint="eastAsia"/>
        </w:rPr>
      </w:pPr>
    </w:p>
    <w:p w:rsidR="002F51A2" w:rsidRPr="00E00259" w:rsidRDefault="0012599C" w:rsidP="00E00259">
      <w:pPr>
        <w:spacing w:line="360" w:lineRule="auto"/>
        <w:ind w:firstLineChars="196" w:firstLine="627"/>
        <w:rPr>
          <w:rFonts w:ascii="黑体" w:eastAsia="黑体" w:hAnsi="黑体"/>
          <w:sz w:val="32"/>
          <w:szCs w:val="32"/>
        </w:rPr>
      </w:pPr>
      <w:r w:rsidRPr="00E00259">
        <w:rPr>
          <w:rFonts w:ascii="黑体" w:eastAsia="黑体" w:hAnsi="黑体" w:hint="eastAsia"/>
          <w:sz w:val="32"/>
          <w:szCs w:val="32"/>
        </w:rPr>
        <w:t>一、职业性慢性正己烷中毒</w:t>
      </w:r>
      <w:r w:rsidR="00642BF1">
        <w:rPr>
          <w:rFonts w:ascii="黑体" w:eastAsia="黑体" w:hAnsi="黑体" w:hint="eastAsia"/>
          <w:color w:val="000000"/>
          <w:sz w:val="32"/>
          <w:szCs w:val="32"/>
          <w:lang w:val="en-GB"/>
        </w:rPr>
        <w:t>临床路径</w:t>
      </w:r>
      <w:r w:rsidRPr="00E00259">
        <w:rPr>
          <w:rFonts w:ascii="黑体" w:eastAsia="黑体" w:hAnsi="黑体" w:hint="eastAsia"/>
          <w:sz w:val="32"/>
          <w:szCs w:val="32"/>
        </w:rPr>
        <w:t>标准住院流程</w:t>
      </w:r>
    </w:p>
    <w:p w:rsidR="002F51A2" w:rsidRPr="001B56E9" w:rsidRDefault="0012599C" w:rsidP="001B56E9">
      <w:pPr>
        <w:spacing w:line="360" w:lineRule="auto"/>
        <w:ind w:firstLineChars="150" w:firstLine="482"/>
        <w:rPr>
          <w:rFonts w:ascii="楷体_GB2312" w:eastAsia="楷体_GB2312"/>
          <w:b/>
          <w:sz w:val="32"/>
        </w:rPr>
      </w:pPr>
      <w:r w:rsidRPr="001B56E9">
        <w:rPr>
          <w:rFonts w:ascii="楷体_GB2312" w:eastAsia="楷体_GB2312" w:hint="eastAsia"/>
          <w:b/>
          <w:sz w:val="32"/>
        </w:rPr>
        <w:t>（一）适用对象。</w:t>
      </w:r>
    </w:p>
    <w:p w:rsidR="002F51A2" w:rsidRPr="005D4AB6" w:rsidRDefault="0012599C" w:rsidP="005D4AB6">
      <w:pPr>
        <w:spacing w:line="360" w:lineRule="auto"/>
        <w:ind w:firstLineChars="200" w:firstLine="640"/>
        <w:rPr>
          <w:rFonts w:ascii="仿宋_GB2312" w:eastAsia="仿宋_GB2312"/>
          <w:sz w:val="32"/>
        </w:rPr>
      </w:pPr>
      <w:r w:rsidRPr="005D4AB6">
        <w:rPr>
          <w:rFonts w:ascii="仿宋_GB2312" w:eastAsia="仿宋_GB2312" w:hint="eastAsia"/>
          <w:sz w:val="32"/>
        </w:rPr>
        <w:t>第一诊断为职业性慢性正己烷中毒（ICD-10：</w:t>
      </w:r>
      <w:bookmarkStart w:id="0" w:name="OLE_LINK2"/>
      <w:bookmarkStart w:id="1" w:name="OLE_LINK1"/>
      <w:r w:rsidRPr="005D4AB6">
        <w:rPr>
          <w:rFonts w:ascii="仿宋_GB2312" w:eastAsia="仿宋_GB2312" w:hint="eastAsia"/>
          <w:sz w:val="32"/>
        </w:rPr>
        <w:t>T52.900</w:t>
      </w:r>
      <w:bookmarkEnd w:id="0"/>
      <w:bookmarkEnd w:id="1"/>
      <w:r w:rsidRPr="005D4AB6">
        <w:rPr>
          <w:rFonts w:ascii="仿宋_GB2312" w:eastAsia="仿宋_GB2312" w:hint="eastAsia"/>
          <w:sz w:val="32"/>
        </w:rPr>
        <w:t>）。</w:t>
      </w:r>
    </w:p>
    <w:p w:rsidR="002F51A2" w:rsidRP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t>（二）诊断依据。</w:t>
      </w:r>
    </w:p>
    <w:p w:rsidR="002F51A2" w:rsidRPr="0008062D" w:rsidRDefault="0012599C" w:rsidP="0083592D">
      <w:pPr>
        <w:spacing w:line="360" w:lineRule="auto"/>
        <w:ind w:firstLineChars="200" w:firstLine="640"/>
        <w:rPr>
          <w:rFonts w:ascii="仿宋_GB2312" w:eastAsia="仿宋_GB2312"/>
          <w:sz w:val="32"/>
        </w:rPr>
      </w:pPr>
      <w:r w:rsidRPr="0008062D">
        <w:rPr>
          <w:rFonts w:ascii="仿宋_GB2312" w:eastAsia="仿宋_GB2312" w:hint="eastAsia"/>
          <w:sz w:val="32"/>
        </w:rPr>
        <w:t>根据GBZ84职业性慢性正己烷中毒诊断标准，参考《中华职业医学》（何凤生主编，人民卫生出版社出版）和《临床职业病学》（赵金垣主编，北京大学医学出版社）。</w:t>
      </w:r>
    </w:p>
    <w:p w:rsidR="002F51A2" w:rsidRPr="0008062D" w:rsidRDefault="0012599C" w:rsidP="0008062D">
      <w:pPr>
        <w:spacing w:line="360" w:lineRule="auto"/>
        <w:ind w:firstLineChars="200" w:firstLine="640"/>
        <w:rPr>
          <w:rFonts w:ascii="仿宋_GB2312" w:eastAsia="仿宋_GB2312"/>
          <w:sz w:val="32"/>
        </w:rPr>
      </w:pPr>
      <w:r w:rsidRPr="0008062D">
        <w:rPr>
          <w:rFonts w:ascii="仿宋_GB2312" w:eastAsia="仿宋_GB2312" w:hint="eastAsia"/>
          <w:sz w:val="32"/>
        </w:rPr>
        <w:t>1.职业史：须有长期接触正己烷的职业史。</w:t>
      </w:r>
    </w:p>
    <w:p w:rsidR="002F51A2" w:rsidRPr="0008062D" w:rsidRDefault="0012599C" w:rsidP="0008062D">
      <w:pPr>
        <w:spacing w:line="360" w:lineRule="auto"/>
        <w:ind w:firstLineChars="200" w:firstLine="640"/>
        <w:rPr>
          <w:rFonts w:ascii="仿宋_GB2312" w:eastAsia="仿宋_GB2312"/>
          <w:sz w:val="32"/>
        </w:rPr>
      </w:pPr>
      <w:r w:rsidRPr="0008062D">
        <w:rPr>
          <w:rFonts w:ascii="仿宋_GB2312" w:eastAsia="仿宋_GB2312" w:hint="eastAsia"/>
          <w:sz w:val="32"/>
        </w:rPr>
        <w:t>2.临床表现：以多发性周围神经病为主的临床表现，一般在接触正己烷数月后出现。</w:t>
      </w:r>
    </w:p>
    <w:p w:rsidR="002F51A2" w:rsidRPr="0008062D" w:rsidRDefault="0012599C" w:rsidP="0008062D">
      <w:pPr>
        <w:spacing w:line="360" w:lineRule="auto"/>
        <w:ind w:firstLineChars="200" w:firstLine="640"/>
        <w:rPr>
          <w:rFonts w:ascii="仿宋_GB2312" w:eastAsia="仿宋_GB2312"/>
          <w:sz w:val="32"/>
        </w:rPr>
      </w:pPr>
      <w:r w:rsidRPr="0008062D">
        <w:rPr>
          <w:rFonts w:ascii="仿宋_GB2312" w:eastAsia="仿宋_GB2312" w:hint="eastAsia"/>
          <w:sz w:val="32"/>
        </w:rPr>
        <w:t>（1）以四肢远端为重的双侧对称性感觉异常或感觉障碍、下运动神经元性运动障碍，可伴有植物神经功能紊乱表现；</w:t>
      </w:r>
    </w:p>
    <w:p w:rsidR="002F51A2" w:rsidRPr="0008062D" w:rsidRDefault="0012599C" w:rsidP="0008062D">
      <w:pPr>
        <w:spacing w:line="360" w:lineRule="auto"/>
        <w:ind w:firstLineChars="200" w:firstLine="640"/>
        <w:rPr>
          <w:rFonts w:ascii="仿宋_GB2312" w:eastAsia="仿宋_GB2312"/>
          <w:sz w:val="32"/>
        </w:rPr>
      </w:pPr>
      <w:r w:rsidRPr="0008062D">
        <w:rPr>
          <w:rFonts w:ascii="仿宋_GB2312" w:eastAsia="仿宋_GB2312" w:hint="eastAsia"/>
          <w:sz w:val="32"/>
        </w:rPr>
        <w:t>（</w:t>
      </w:r>
      <w:r w:rsidRPr="0008062D">
        <w:rPr>
          <w:rFonts w:ascii="仿宋_GB2312" w:eastAsia="仿宋_GB2312"/>
          <w:sz w:val="32"/>
        </w:rPr>
        <w:t>2</w:t>
      </w:r>
      <w:r w:rsidRPr="0008062D">
        <w:rPr>
          <w:rFonts w:ascii="仿宋_GB2312" w:eastAsia="仿宋_GB2312" w:hint="eastAsia"/>
          <w:sz w:val="32"/>
        </w:rPr>
        <w:t>）神经</w:t>
      </w:r>
      <w:r w:rsidRPr="0008062D">
        <w:rPr>
          <w:rFonts w:ascii="仿宋_GB2312" w:eastAsia="仿宋_GB2312"/>
          <w:sz w:val="32"/>
        </w:rPr>
        <w:t>-</w:t>
      </w:r>
      <w:r w:rsidRPr="0008062D">
        <w:rPr>
          <w:rFonts w:ascii="仿宋_GB2312" w:eastAsia="仿宋_GB2312" w:hint="eastAsia"/>
          <w:sz w:val="32"/>
        </w:rPr>
        <w:t>肌电图检查显示神经源性损害。</w:t>
      </w:r>
    </w:p>
    <w:p w:rsidR="002F51A2" w:rsidRPr="0008062D" w:rsidRDefault="0012599C" w:rsidP="0008062D">
      <w:pPr>
        <w:spacing w:line="360" w:lineRule="auto"/>
        <w:ind w:firstLineChars="200" w:firstLine="640"/>
        <w:rPr>
          <w:rFonts w:ascii="仿宋_GB2312" w:eastAsia="仿宋_GB2312"/>
          <w:sz w:val="32"/>
        </w:rPr>
      </w:pPr>
      <w:r w:rsidRPr="0008062D">
        <w:rPr>
          <w:rFonts w:ascii="仿宋_GB2312" w:eastAsia="仿宋_GB2312"/>
          <w:sz w:val="32"/>
        </w:rPr>
        <w:t>3.</w:t>
      </w:r>
      <w:r w:rsidRPr="0008062D">
        <w:rPr>
          <w:rFonts w:ascii="仿宋_GB2312" w:eastAsia="仿宋_GB2312" w:hint="eastAsia"/>
          <w:sz w:val="32"/>
        </w:rPr>
        <w:t>尿2，5-己二酮测定：部分患者脱离正己烷接触1个月内可出现增高。</w:t>
      </w:r>
    </w:p>
    <w:p w:rsidR="002F51A2" w:rsidRPr="0008062D" w:rsidRDefault="0012599C" w:rsidP="0008062D">
      <w:pPr>
        <w:spacing w:line="360" w:lineRule="auto"/>
        <w:ind w:firstLineChars="200" w:firstLine="640"/>
        <w:rPr>
          <w:rFonts w:ascii="仿宋_GB2312" w:eastAsia="仿宋_GB2312"/>
          <w:sz w:val="32"/>
        </w:rPr>
      </w:pPr>
      <w:r w:rsidRPr="0008062D">
        <w:rPr>
          <w:rFonts w:ascii="仿宋_GB2312" w:eastAsia="仿宋_GB2312"/>
          <w:sz w:val="32"/>
        </w:rPr>
        <w:t>4.</w:t>
      </w:r>
      <w:r w:rsidRPr="0008062D">
        <w:rPr>
          <w:rFonts w:ascii="仿宋_GB2312" w:eastAsia="仿宋_GB2312" w:hint="eastAsia"/>
          <w:sz w:val="32"/>
        </w:rPr>
        <w:t>需排除以下疾病：急性脊髓炎、急性脊髓灰质炎，周围性瘫痪，吉兰-巴雷综合征，结缔组织病，感染所致多发性神经病，营养缺乏（如B族维生素缺乏等），代谢及内分</w:t>
      </w:r>
      <w:r w:rsidRPr="0008062D">
        <w:rPr>
          <w:rFonts w:ascii="仿宋_GB2312" w:eastAsia="仿宋_GB2312" w:hint="eastAsia"/>
          <w:sz w:val="32"/>
        </w:rPr>
        <w:lastRenderedPageBreak/>
        <w:t>泌障碍（如糖尿病、尿毒症、痛风、甲状腺功能减退、恶病质等），药物（如呋喃类、异烟肼等）中毒，其他化学物（砷、铅、二硫化碳、氯丙烯、有机磷、丙烯酰胺及TOCP等）中毒等。</w:t>
      </w:r>
    </w:p>
    <w:p w:rsidR="002F51A2" w:rsidRPr="0008062D" w:rsidRDefault="0012599C" w:rsidP="0008062D">
      <w:pPr>
        <w:spacing w:line="360" w:lineRule="auto"/>
        <w:ind w:firstLineChars="200" w:firstLine="640"/>
        <w:rPr>
          <w:rFonts w:ascii="仿宋_GB2312" w:eastAsia="仿宋_GB2312"/>
          <w:sz w:val="32"/>
        </w:rPr>
      </w:pPr>
      <w:r w:rsidRPr="0008062D">
        <w:rPr>
          <w:rFonts w:ascii="仿宋_GB2312" w:eastAsia="仿宋_GB2312"/>
          <w:sz w:val="32"/>
        </w:rPr>
        <w:t>5.</w:t>
      </w:r>
      <w:r w:rsidRPr="0008062D">
        <w:rPr>
          <w:rFonts w:ascii="仿宋_GB2312" w:eastAsia="仿宋_GB2312" w:hint="eastAsia"/>
          <w:sz w:val="32"/>
        </w:rPr>
        <w:t>病情分级诊断应以病程中病情最严重时的症状体征和神经肌电图改变作为根据，分为轻度、中度及重度三级，具体参见</w:t>
      </w:r>
      <w:r w:rsidRPr="0008062D">
        <w:rPr>
          <w:rFonts w:ascii="仿宋_GB2312" w:eastAsia="仿宋_GB2312"/>
          <w:sz w:val="32"/>
        </w:rPr>
        <w:t>GBZ84</w:t>
      </w:r>
      <w:r w:rsidRPr="0008062D">
        <w:rPr>
          <w:rFonts w:ascii="仿宋_GB2312" w:eastAsia="仿宋_GB2312" w:hint="eastAsia"/>
          <w:sz w:val="32"/>
        </w:rPr>
        <w:t>。</w:t>
      </w:r>
    </w:p>
    <w:p w:rsidR="002F51A2" w:rsidRP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t>（三）治疗方案的选择及依据。</w:t>
      </w:r>
    </w:p>
    <w:p w:rsidR="002F51A2" w:rsidRPr="0008062D" w:rsidRDefault="0012599C">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根据GBZ84职业性慢性正己烷中毒诊断标准、《中华职业医学》（何凤生主编，人民卫生出版社出版）和《临床职业病学》（赵金垣主编，北京大学医学出版社）。保证患者有足够营养，防止肌肉萎缩，防止跌倒、扭伤、烫伤。肢体瘫痪严重者，注意维持肢体功能位置，并加强防褥疮护理。给予中西医综合治疗，营养神经，促进神经修复、再生。</w:t>
      </w:r>
    </w:p>
    <w:p w:rsidR="002F51A2" w:rsidRPr="0008062D" w:rsidRDefault="0012599C">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1.药物治疗：主要包括B族维生素、能量合剂、神经生长因子，活血化瘀、通经活络、扶正补肾药物及中医中药辩证施治。</w:t>
      </w:r>
    </w:p>
    <w:p w:rsidR="002F51A2" w:rsidRPr="0008062D" w:rsidRDefault="0012599C">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hint="default"/>
          <w:kern w:val="2"/>
          <w:sz w:val="32"/>
          <w:szCs w:val="24"/>
        </w:rPr>
        <w:t>2.</w:t>
      </w:r>
      <w:r w:rsidRPr="0008062D">
        <w:rPr>
          <w:rFonts w:ascii="仿宋_GB2312" w:eastAsia="仿宋_GB2312"/>
          <w:kern w:val="2"/>
          <w:sz w:val="32"/>
          <w:szCs w:val="24"/>
        </w:rPr>
        <w:t>中医外治及针灸：如中药封包、中药熏洗、针法、灸法等。</w:t>
      </w:r>
    </w:p>
    <w:p w:rsidR="002F51A2" w:rsidRPr="0008062D" w:rsidRDefault="0012599C">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hint="default"/>
          <w:kern w:val="2"/>
          <w:sz w:val="32"/>
          <w:szCs w:val="24"/>
        </w:rPr>
        <w:t>3.</w:t>
      </w:r>
      <w:r w:rsidRPr="0008062D">
        <w:rPr>
          <w:rFonts w:ascii="仿宋_GB2312" w:eastAsia="仿宋_GB2312"/>
          <w:kern w:val="2"/>
          <w:sz w:val="32"/>
          <w:szCs w:val="24"/>
        </w:rPr>
        <w:t>物理与康复治疗。</w:t>
      </w:r>
    </w:p>
    <w:p w:rsidR="002F51A2" w:rsidRPr="0008062D" w:rsidRDefault="0012599C">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4</w:t>
      </w:r>
      <w:r w:rsidRPr="0008062D">
        <w:rPr>
          <w:rFonts w:ascii="仿宋_GB2312" w:eastAsia="仿宋_GB2312" w:hint="default"/>
          <w:kern w:val="2"/>
          <w:sz w:val="32"/>
          <w:szCs w:val="24"/>
        </w:rPr>
        <w:t>.</w:t>
      </w:r>
      <w:r w:rsidRPr="0008062D">
        <w:rPr>
          <w:rFonts w:ascii="仿宋_GB2312" w:eastAsia="仿宋_GB2312"/>
          <w:kern w:val="2"/>
          <w:sz w:val="32"/>
          <w:szCs w:val="24"/>
        </w:rPr>
        <w:t>对症支持治疗。</w:t>
      </w:r>
    </w:p>
    <w:p w:rsid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lastRenderedPageBreak/>
        <w:t>（四）标准住院日</w:t>
      </w:r>
      <w:r w:rsidR="0008062D">
        <w:rPr>
          <w:rFonts w:ascii="楷体_GB2312" w:eastAsia="楷体_GB2312" w:hint="eastAsia"/>
          <w:b/>
          <w:sz w:val="32"/>
        </w:rPr>
        <w:t>。</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轻度中毒90～180天 ，中度中毒180～360天，重度中毒360～540天。</w:t>
      </w:r>
    </w:p>
    <w:p w:rsidR="002F51A2" w:rsidRP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t>（五）进入路径标准。</w:t>
      </w:r>
    </w:p>
    <w:p w:rsidR="002F51A2" w:rsidRPr="0008062D" w:rsidRDefault="0012599C"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sidRPr="0008062D">
        <w:rPr>
          <w:rFonts w:ascii="仿宋_GB2312" w:eastAsia="仿宋_GB2312"/>
          <w:kern w:val="2"/>
          <w:sz w:val="32"/>
          <w:szCs w:val="24"/>
        </w:rPr>
        <w:t>1</w:t>
      </w:r>
      <w:r w:rsidR="0083592D">
        <w:rPr>
          <w:rFonts w:ascii="仿宋_GB2312" w:eastAsia="仿宋_GB2312"/>
          <w:kern w:val="2"/>
          <w:sz w:val="32"/>
          <w:szCs w:val="24"/>
        </w:rPr>
        <w:t>.</w:t>
      </w:r>
      <w:r w:rsidRPr="0008062D">
        <w:rPr>
          <w:rFonts w:ascii="仿宋_GB2312" w:eastAsia="仿宋_GB2312"/>
          <w:kern w:val="2"/>
          <w:sz w:val="32"/>
          <w:szCs w:val="24"/>
        </w:rPr>
        <w:t>第一诊断必须符合ICD-10：T52.900 职业性慢性正己烷中毒疾病编码。</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 xml:space="preserve"> 2</w:t>
      </w:r>
      <w:r w:rsidR="0083592D">
        <w:rPr>
          <w:rFonts w:ascii="仿宋_GB2312" w:eastAsia="仿宋_GB2312"/>
          <w:kern w:val="2"/>
          <w:sz w:val="32"/>
          <w:szCs w:val="24"/>
        </w:rPr>
        <w:t>.</w:t>
      </w:r>
      <w:r w:rsidRPr="0008062D">
        <w:rPr>
          <w:rFonts w:ascii="仿宋_GB2312" w:eastAsia="仿宋_GB2312"/>
          <w:kern w:val="2"/>
          <w:sz w:val="32"/>
          <w:szCs w:val="24"/>
        </w:rPr>
        <w:t>当患者合并其他疾病，但住院期间不需要特殊处理，也不影响第一诊断的临床路径流程实施时，可以进入路径。</w:t>
      </w:r>
    </w:p>
    <w:p w:rsidR="002F51A2" w:rsidRP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t>（六）住院期间检查项目。</w:t>
      </w:r>
    </w:p>
    <w:p w:rsidR="002F51A2" w:rsidRPr="0008062D" w:rsidRDefault="0012599C"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sidRPr="0008062D">
        <w:rPr>
          <w:rFonts w:ascii="仿宋_GB2312" w:eastAsia="仿宋_GB2312"/>
          <w:kern w:val="2"/>
          <w:sz w:val="32"/>
          <w:szCs w:val="24"/>
        </w:rPr>
        <w:t>1</w:t>
      </w:r>
      <w:r w:rsidR="0083592D">
        <w:rPr>
          <w:rFonts w:ascii="仿宋_GB2312" w:eastAsia="仿宋_GB2312"/>
          <w:kern w:val="2"/>
          <w:sz w:val="32"/>
          <w:szCs w:val="24"/>
        </w:rPr>
        <w:t>.</w:t>
      </w:r>
      <w:r w:rsidRPr="0008062D">
        <w:rPr>
          <w:rFonts w:ascii="仿宋_GB2312" w:eastAsia="仿宋_GB2312"/>
          <w:kern w:val="2"/>
          <w:sz w:val="32"/>
          <w:szCs w:val="24"/>
        </w:rPr>
        <w:t xml:space="preserve">必需的检查项目：  </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（1）血常规、尿常规、大便常规+隐血；</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（2）肝肾心功能、血电解质7项、血脂、血糖、血清维生素B12测定、血沉、免疫五项+风湿三项、甲功三项[血游离甲状腺素（FT4）、血游离三碘甲状腺原氨酸（FT3）、血促甲状腺激素（TSH）]、感染性疾病筛查；</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（3）尿2，5-己二酮；</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（4）神经-肌电图：根据病情，住院期间建议每1～2个月进行复查；</w:t>
      </w:r>
      <w:r w:rsidRPr="0008062D">
        <w:rPr>
          <w:rFonts w:ascii="仿宋_GB2312" w:eastAsia="仿宋_GB2312"/>
          <w:kern w:val="2"/>
          <w:sz w:val="32"/>
          <w:szCs w:val="24"/>
        </w:rPr>
        <w:br/>
        <w:t xml:space="preserve">    （4）胸片、心电图、腹部B超、泌尿系B超；</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lastRenderedPageBreak/>
        <w:t>（5）眼科会诊+常规检查（视力、视野、辨色力、眼底检查等）。</w:t>
      </w:r>
    </w:p>
    <w:p w:rsidR="002F51A2" w:rsidRPr="0008062D" w:rsidRDefault="0012599C"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sidRPr="0008062D">
        <w:rPr>
          <w:rFonts w:ascii="仿宋_GB2312" w:eastAsia="仿宋_GB2312"/>
          <w:kern w:val="2"/>
          <w:sz w:val="32"/>
          <w:szCs w:val="24"/>
        </w:rPr>
        <w:t>2</w:t>
      </w:r>
      <w:r w:rsidR="0083592D">
        <w:rPr>
          <w:rFonts w:ascii="仿宋_GB2312" w:eastAsia="仿宋_GB2312"/>
          <w:kern w:val="2"/>
          <w:sz w:val="32"/>
          <w:szCs w:val="24"/>
        </w:rPr>
        <w:t>.</w:t>
      </w:r>
      <w:r w:rsidRPr="0008062D">
        <w:rPr>
          <w:rFonts w:ascii="仿宋_GB2312" w:eastAsia="仿宋_GB2312"/>
          <w:kern w:val="2"/>
          <w:sz w:val="32"/>
          <w:szCs w:val="24"/>
        </w:rPr>
        <w:t>根据患者病情可选择检查项目：</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（1）肿瘤全项、血气分析；</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（2）头颅和/或脊髓CT/MRI+强化、脑电图；</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（3）腰穿:脑脊液常规、生化、涂片找细菌、脑脊液免疫球蛋白检查、穿刺细胞学病理检查；</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（4）诱发电位（视觉诱发电位、听觉诱发电位、体感诱发电位）、神经活检；</w:t>
      </w:r>
    </w:p>
    <w:p w:rsidR="002F51A2" w:rsidRPr="0008062D" w:rsidRDefault="0012599C" w:rsidP="0008062D">
      <w:pPr>
        <w:pStyle w:val="a8"/>
        <w:tabs>
          <w:tab w:val="clear" w:pos="360"/>
          <w:tab w:val="left" w:pos="420"/>
        </w:tabs>
        <w:spacing w:before="156" w:after="156" w:line="360" w:lineRule="auto"/>
        <w:ind w:firstLine="480"/>
        <w:rPr>
          <w:rFonts w:ascii="仿宋_GB2312" w:eastAsia="仿宋_GB2312" w:hint="default"/>
          <w:kern w:val="2"/>
          <w:sz w:val="32"/>
          <w:szCs w:val="24"/>
        </w:rPr>
      </w:pPr>
      <w:r w:rsidRPr="0008062D">
        <w:rPr>
          <w:rFonts w:ascii="仿宋_GB2312" w:eastAsia="仿宋_GB2312"/>
          <w:kern w:val="2"/>
          <w:sz w:val="32"/>
          <w:szCs w:val="24"/>
        </w:rPr>
        <w:t>（5）酌情行鉴别诊断的其他相关检查。</w:t>
      </w:r>
    </w:p>
    <w:p w:rsidR="002F51A2" w:rsidRP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t>（七）选择用药。</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1.</w:t>
      </w:r>
      <w:r w:rsidR="0012599C" w:rsidRPr="0008062D">
        <w:rPr>
          <w:rFonts w:ascii="仿宋_GB2312" w:eastAsia="仿宋_GB2312"/>
          <w:kern w:val="2"/>
          <w:sz w:val="32"/>
          <w:szCs w:val="24"/>
        </w:rPr>
        <w:t>B族维生素：维生素B12、B1、B6。</w:t>
      </w:r>
    </w:p>
    <w:p w:rsidR="002F51A2" w:rsidRPr="0008062D" w:rsidRDefault="0012599C"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sidRPr="0008062D">
        <w:rPr>
          <w:rFonts w:ascii="仿宋_GB2312" w:eastAsia="仿宋_GB2312"/>
          <w:kern w:val="2"/>
          <w:sz w:val="32"/>
          <w:szCs w:val="24"/>
        </w:rPr>
        <w:t>2.能量合剂：肌苷、维生素C、ATP、辅酶A等。</w:t>
      </w:r>
    </w:p>
    <w:p w:rsidR="002F51A2" w:rsidRPr="0008062D" w:rsidRDefault="0012599C"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sidRPr="0008062D">
        <w:rPr>
          <w:rFonts w:ascii="仿宋_GB2312" w:eastAsia="仿宋_GB2312"/>
          <w:kern w:val="2"/>
          <w:sz w:val="32"/>
          <w:szCs w:val="24"/>
        </w:rPr>
        <w:t>3.神经生长因子：鼠源性神经生长因子（mNGF）30μg（生物活性≥15000AU）肌注，每天一次，3～6周为一疗程。具体疗程数依据病情而定。</w:t>
      </w:r>
    </w:p>
    <w:p w:rsidR="002F51A2" w:rsidRPr="0008062D" w:rsidRDefault="0012599C"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sidRPr="0008062D">
        <w:rPr>
          <w:rFonts w:ascii="仿宋_GB2312" w:eastAsia="仿宋_GB2312"/>
          <w:kern w:val="2"/>
          <w:sz w:val="32"/>
          <w:szCs w:val="24"/>
        </w:rPr>
        <w:t>4.具有活血化瘀、通经活络及扶正补肾作用的药物：丹参注射液、舒血宁注射液、大活络丸、虫草制剂、小牛血去蛋白提取物等。</w:t>
      </w:r>
    </w:p>
    <w:p w:rsidR="002F51A2" w:rsidRDefault="0012599C" w:rsidP="0083592D">
      <w:pPr>
        <w:pStyle w:val="a8"/>
        <w:tabs>
          <w:tab w:val="clear" w:pos="360"/>
          <w:tab w:val="left" w:pos="420"/>
        </w:tabs>
        <w:spacing w:before="156" w:after="156" w:line="360" w:lineRule="auto"/>
        <w:ind w:firstLineChars="200" w:firstLine="640"/>
        <w:rPr>
          <w:rFonts w:cs="宋体" w:hint="default"/>
          <w:sz w:val="24"/>
        </w:rPr>
      </w:pPr>
      <w:r w:rsidRPr="0008062D">
        <w:rPr>
          <w:rFonts w:ascii="仿宋_GB2312" w:eastAsia="仿宋_GB2312"/>
          <w:kern w:val="2"/>
          <w:sz w:val="32"/>
          <w:szCs w:val="24"/>
        </w:rPr>
        <w:lastRenderedPageBreak/>
        <w:t>5.对症支持治疗和防治并发症的相关药物。</w:t>
      </w:r>
    </w:p>
    <w:p w:rsidR="002F51A2" w:rsidRP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t>（八）出院标准。</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1.</w:t>
      </w:r>
      <w:r w:rsidR="0012599C" w:rsidRPr="0008062D">
        <w:rPr>
          <w:rFonts w:ascii="仿宋_GB2312" w:eastAsia="仿宋_GB2312"/>
          <w:kern w:val="2"/>
          <w:sz w:val="32"/>
          <w:szCs w:val="24"/>
        </w:rPr>
        <w:t>四肢痛/触觉、跟腱反射恢复正常，肌力V-级以上；</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2.</w:t>
      </w:r>
      <w:r w:rsidR="0012599C" w:rsidRPr="0008062D">
        <w:rPr>
          <w:rFonts w:ascii="仿宋_GB2312" w:eastAsia="仿宋_GB2312"/>
          <w:kern w:val="2"/>
          <w:sz w:val="32"/>
          <w:szCs w:val="24"/>
        </w:rPr>
        <w:t>神经-肌电图明显改善或正常；</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3.</w:t>
      </w:r>
      <w:r w:rsidR="0012599C" w:rsidRPr="0008062D">
        <w:rPr>
          <w:rFonts w:ascii="仿宋_GB2312" w:eastAsia="仿宋_GB2312"/>
          <w:kern w:val="2"/>
          <w:sz w:val="32"/>
          <w:szCs w:val="24"/>
        </w:rPr>
        <w:t>没有需要继续住院处理的合并症和/或并发症。</w:t>
      </w:r>
    </w:p>
    <w:p w:rsidR="002F51A2" w:rsidRPr="005D4AB6" w:rsidRDefault="0012599C" w:rsidP="005D4AB6">
      <w:pPr>
        <w:spacing w:line="360" w:lineRule="auto"/>
        <w:ind w:firstLineChars="150" w:firstLine="482"/>
        <w:rPr>
          <w:rFonts w:ascii="楷体_GB2312" w:eastAsia="楷体_GB2312"/>
          <w:b/>
          <w:sz w:val="32"/>
        </w:rPr>
      </w:pPr>
      <w:r w:rsidRPr="005D4AB6">
        <w:rPr>
          <w:rFonts w:ascii="楷体_GB2312" w:eastAsia="楷体_GB2312" w:hint="eastAsia"/>
          <w:b/>
          <w:sz w:val="32"/>
        </w:rPr>
        <w:t>（九）变异及原因分析。</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1.</w:t>
      </w:r>
      <w:r w:rsidR="0012599C" w:rsidRPr="0008062D">
        <w:rPr>
          <w:rFonts w:ascii="仿宋_GB2312" w:eastAsia="仿宋_GB2312"/>
          <w:kern w:val="2"/>
          <w:sz w:val="32"/>
          <w:szCs w:val="24"/>
        </w:rPr>
        <w:t>治疗过程中出现严重并发症；</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2.</w:t>
      </w:r>
      <w:r w:rsidR="0012599C" w:rsidRPr="0008062D">
        <w:rPr>
          <w:rFonts w:ascii="仿宋_GB2312" w:eastAsia="仿宋_GB2312"/>
          <w:kern w:val="2"/>
          <w:sz w:val="32"/>
          <w:szCs w:val="24"/>
        </w:rPr>
        <w:t>伴有其他疾病，需要进行诊断治疗；</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3.</w:t>
      </w:r>
      <w:r w:rsidR="0012599C" w:rsidRPr="0008062D">
        <w:rPr>
          <w:rFonts w:ascii="仿宋_GB2312" w:eastAsia="仿宋_GB2312"/>
          <w:kern w:val="2"/>
          <w:sz w:val="32"/>
          <w:szCs w:val="24"/>
        </w:rPr>
        <w:t>患者因特殊原因不能配合诊疗工作；</w:t>
      </w:r>
    </w:p>
    <w:p w:rsidR="002F51A2" w:rsidRPr="0008062D" w:rsidRDefault="0083592D" w:rsidP="0083592D">
      <w:pPr>
        <w:pStyle w:val="a8"/>
        <w:tabs>
          <w:tab w:val="clear" w:pos="360"/>
          <w:tab w:val="left" w:pos="420"/>
        </w:tabs>
        <w:spacing w:before="156" w:after="156" w:line="360" w:lineRule="auto"/>
        <w:ind w:firstLineChars="200" w:firstLine="640"/>
        <w:rPr>
          <w:rFonts w:ascii="仿宋_GB2312" w:eastAsia="仿宋_GB2312" w:hint="default"/>
          <w:kern w:val="2"/>
          <w:sz w:val="32"/>
          <w:szCs w:val="24"/>
        </w:rPr>
      </w:pPr>
      <w:r>
        <w:rPr>
          <w:rFonts w:ascii="仿宋_GB2312" w:eastAsia="仿宋_GB2312"/>
          <w:kern w:val="2"/>
          <w:sz w:val="32"/>
          <w:szCs w:val="24"/>
        </w:rPr>
        <w:t>4.</w:t>
      </w:r>
      <w:r w:rsidR="0012599C" w:rsidRPr="0008062D">
        <w:rPr>
          <w:rFonts w:ascii="仿宋_GB2312" w:eastAsia="仿宋_GB2312"/>
          <w:kern w:val="2"/>
          <w:sz w:val="32"/>
          <w:szCs w:val="24"/>
        </w:rPr>
        <w:t>患者因特殊原因要求出院终止治疗。</w:t>
      </w: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rPr>
          <w:b/>
          <w:sz w:val="24"/>
        </w:rPr>
      </w:pPr>
    </w:p>
    <w:p w:rsidR="002F51A2" w:rsidRDefault="002F51A2">
      <w:pPr>
        <w:adjustRightInd w:val="0"/>
        <w:snapToGrid w:val="0"/>
        <w:spacing w:line="360" w:lineRule="auto"/>
        <w:ind w:firstLineChars="200" w:firstLine="482"/>
        <w:rPr>
          <w:b/>
          <w:sz w:val="24"/>
        </w:rPr>
      </w:pPr>
    </w:p>
    <w:p w:rsidR="009A0801" w:rsidRDefault="009A0801" w:rsidP="0008062D">
      <w:pPr>
        <w:adjustRightInd w:val="0"/>
        <w:snapToGrid w:val="0"/>
        <w:spacing w:line="360" w:lineRule="auto"/>
        <w:ind w:firstLineChars="200" w:firstLine="482"/>
        <w:rPr>
          <w:b/>
          <w:sz w:val="24"/>
        </w:rPr>
      </w:pPr>
    </w:p>
    <w:p w:rsidR="002F51A2" w:rsidRPr="0008062D" w:rsidRDefault="0012599C" w:rsidP="0008062D">
      <w:pPr>
        <w:adjustRightInd w:val="0"/>
        <w:snapToGrid w:val="0"/>
        <w:spacing w:line="360" w:lineRule="auto"/>
        <w:ind w:firstLineChars="200" w:firstLine="640"/>
        <w:rPr>
          <w:rFonts w:ascii="黑体" w:eastAsia="黑体" w:hAnsi="黑体"/>
          <w:sz w:val="40"/>
          <w:szCs w:val="32"/>
        </w:rPr>
      </w:pPr>
      <w:r w:rsidRPr="0008062D">
        <w:rPr>
          <w:rFonts w:ascii="黑体" w:eastAsia="黑体" w:hAnsi="黑体" w:hint="eastAsia"/>
          <w:sz w:val="32"/>
        </w:rPr>
        <w:lastRenderedPageBreak/>
        <w:t>二、职业性慢性正己烷中毒临床路径表单</w:t>
      </w:r>
    </w:p>
    <w:p w:rsidR="002F51A2" w:rsidRPr="00346E4E" w:rsidRDefault="0012599C">
      <w:pPr>
        <w:adjustRightInd w:val="0"/>
        <w:snapToGrid w:val="0"/>
        <w:rPr>
          <w:rFonts w:ascii="宋体" w:hAnsi="宋体"/>
          <w:szCs w:val="18"/>
        </w:rPr>
      </w:pPr>
      <w:r w:rsidRPr="00346E4E">
        <w:rPr>
          <w:rFonts w:ascii="宋体" w:hAnsi="宋体" w:hint="eastAsia"/>
          <w:szCs w:val="18"/>
        </w:rPr>
        <w:t>适用对象：</w:t>
      </w:r>
      <w:r w:rsidRPr="00394024">
        <w:rPr>
          <w:rFonts w:ascii="宋体" w:hAnsi="宋体" w:hint="eastAsia"/>
          <w:b/>
          <w:bCs/>
          <w:szCs w:val="18"/>
        </w:rPr>
        <w:t>第一诊断</w:t>
      </w:r>
      <w:r w:rsidRPr="00394024">
        <w:rPr>
          <w:rFonts w:ascii="宋体" w:hAnsi="宋体" w:hint="eastAsia"/>
          <w:b/>
          <w:szCs w:val="18"/>
        </w:rPr>
        <w:t>为</w:t>
      </w:r>
      <w:r w:rsidRPr="00346E4E">
        <w:rPr>
          <w:rFonts w:ascii="宋体" w:hAnsi="宋体" w:hint="eastAsia"/>
          <w:szCs w:val="18"/>
        </w:rPr>
        <w:t>职业性慢性正己烷中毒（</w:t>
      </w:r>
      <w:r w:rsidRPr="00346E4E">
        <w:rPr>
          <w:rFonts w:ascii="宋体" w:hAnsi="宋体"/>
          <w:szCs w:val="18"/>
        </w:rPr>
        <w:t>ICD-10</w:t>
      </w:r>
      <w:r w:rsidRPr="00346E4E">
        <w:rPr>
          <w:rFonts w:ascii="宋体" w:hAnsi="宋体" w:hint="eastAsia"/>
          <w:szCs w:val="18"/>
        </w:rPr>
        <w:t>：</w:t>
      </w:r>
      <w:r w:rsidRPr="00346E4E">
        <w:rPr>
          <w:rFonts w:ascii="宋体" w:hAnsi="宋体"/>
          <w:szCs w:val="18"/>
        </w:rPr>
        <w:t>T52.900</w:t>
      </w:r>
      <w:r w:rsidRPr="00346E4E">
        <w:rPr>
          <w:rFonts w:ascii="宋体" w:hAnsi="宋体" w:hint="eastAsia"/>
          <w:szCs w:val="18"/>
        </w:rPr>
        <w:t>）。</w:t>
      </w:r>
    </w:p>
    <w:p w:rsidR="002F51A2" w:rsidRPr="00346E4E" w:rsidRDefault="0012599C">
      <w:pPr>
        <w:adjustRightInd w:val="0"/>
        <w:snapToGrid w:val="0"/>
        <w:rPr>
          <w:rFonts w:ascii="宋体" w:hAnsi="宋体"/>
          <w:szCs w:val="18"/>
        </w:rPr>
      </w:pPr>
      <w:r w:rsidRPr="00346E4E">
        <w:rPr>
          <w:rFonts w:ascii="宋体" w:hAnsi="宋体" w:hint="eastAsia"/>
          <w:szCs w:val="18"/>
        </w:rPr>
        <w:t>患者姓名：性别：年龄：住院号：</w:t>
      </w:r>
    </w:p>
    <w:p w:rsidR="002F51A2" w:rsidRPr="00346E4E" w:rsidRDefault="0012599C">
      <w:pPr>
        <w:adjustRightInd w:val="0"/>
        <w:snapToGrid w:val="0"/>
        <w:rPr>
          <w:rFonts w:ascii="宋体" w:hAnsi="宋体"/>
          <w:szCs w:val="18"/>
        </w:rPr>
      </w:pPr>
      <w:r w:rsidRPr="00346E4E">
        <w:rPr>
          <w:rFonts w:ascii="宋体" w:hAnsi="宋体" w:hint="eastAsia"/>
          <w:szCs w:val="18"/>
        </w:rPr>
        <w:t>住院日期：年月日出院日期：年月日</w:t>
      </w:r>
    </w:p>
    <w:p w:rsidR="002F51A2" w:rsidRPr="00346E4E" w:rsidRDefault="0012599C">
      <w:pPr>
        <w:adjustRightInd w:val="0"/>
        <w:snapToGrid w:val="0"/>
        <w:rPr>
          <w:rFonts w:ascii="宋体" w:hAnsi="宋体"/>
          <w:szCs w:val="18"/>
        </w:rPr>
      </w:pPr>
      <w:r w:rsidRPr="00346E4E">
        <w:rPr>
          <w:rFonts w:ascii="宋体" w:hAnsi="宋体" w:hint="eastAsia"/>
          <w:szCs w:val="18"/>
        </w:rPr>
        <w:t>标准住院日：轻度中毒90～180天，中度中毒180～360天，重度中毒360～540天</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358"/>
        <w:gridCol w:w="4251"/>
      </w:tblGrid>
      <w:tr w:rsidR="002F51A2" w:rsidRPr="003433B2">
        <w:trPr>
          <w:jc w:val="center"/>
        </w:trPr>
        <w:tc>
          <w:tcPr>
            <w:tcW w:w="588" w:type="dxa"/>
            <w:tcBorders>
              <w:top w:val="double" w:sz="4" w:space="0" w:color="auto"/>
              <w:left w:val="double" w:sz="4" w:space="0" w:color="auto"/>
              <w:bottom w:val="double" w:sz="4" w:space="0" w:color="auto"/>
              <w:right w:val="double" w:sz="4"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时间</w:t>
            </w:r>
          </w:p>
        </w:tc>
        <w:tc>
          <w:tcPr>
            <w:tcW w:w="4358" w:type="dxa"/>
            <w:tcBorders>
              <w:top w:val="double" w:sz="4" w:space="0" w:color="auto"/>
              <w:left w:val="double" w:sz="4" w:space="0" w:color="auto"/>
              <w:bottom w:val="double" w:sz="4" w:space="0" w:color="auto"/>
              <w:right w:val="double" w:sz="4"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住院第</w:t>
            </w:r>
            <w:r w:rsidRPr="001C5817">
              <w:rPr>
                <w:rFonts w:ascii="黑体" w:eastAsia="黑体" w:hAnsi="宋体"/>
                <w:szCs w:val="21"/>
              </w:rPr>
              <w:t>1</w:t>
            </w:r>
            <w:r w:rsidRPr="001C5817">
              <w:rPr>
                <w:rFonts w:ascii="黑体" w:eastAsia="黑体" w:hAnsi="宋体" w:hint="eastAsia"/>
                <w:szCs w:val="21"/>
              </w:rPr>
              <w:t>～</w:t>
            </w:r>
            <w:r w:rsidRPr="001C5817">
              <w:rPr>
                <w:rFonts w:ascii="黑体" w:eastAsia="黑体" w:hAnsi="宋体"/>
                <w:szCs w:val="21"/>
              </w:rPr>
              <w:t>3</w:t>
            </w:r>
            <w:r w:rsidRPr="001C5817">
              <w:rPr>
                <w:rFonts w:ascii="黑体" w:eastAsia="黑体" w:hAnsi="宋体" w:hint="eastAsia"/>
                <w:szCs w:val="21"/>
              </w:rPr>
              <w:t>天</w:t>
            </w:r>
          </w:p>
        </w:tc>
        <w:tc>
          <w:tcPr>
            <w:tcW w:w="4251" w:type="dxa"/>
            <w:tcBorders>
              <w:top w:val="double" w:sz="4" w:space="0" w:color="auto"/>
              <w:left w:val="double" w:sz="4" w:space="0" w:color="auto"/>
              <w:bottom w:val="double" w:sz="4" w:space="0" w:color="auto"/>
              <w:right w:val="double" w:sz="4"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住院期间</w:t>
            </w:r>
          </w:p>
        </w:tc>
      </w:tr>
      <w:tr w:rsidR="002F51A2" w:rsidRPr="003433B2">
        <w:trPr>
          <w:trHeight w:val="1818"/>
          <w:jc w:val="center"/>
        </w:trPr>
        <w:tc>
          <w:tcPr>
            <w:tcW w:w="588" w:type="dxa"/>
            <w:tcBorders>
              <w:top w:val="double" w:sz="4"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主</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要</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诊</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疗</w:t>
            </w:r>
            <w:bookmarkStart w:id="2" w:name="_GoBack"/>
            <w:bookmarkEnd w:id="2"/>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工</w:t>
            </w:r>
          </w:p>
          <w:p w:rsidR="002F51A2" w:rsidRPr="001C5817" w:rsidRDefault="0012599C">
            <w:pPr>
              <w:adjustRightInd w:val="0"/>
              <w:snapToGrid w:val="0"/>
              <w:jc w:val="center"/>
              <w:rPr>
                <w:rFonts w:ascii="黑体" w:eastAsia="黑体" w:hAnsi="宋体"/>
                <w:szCs w:val="21"/>
                <w:u w:val="single"/>
              </w:rPr>
            </w:pPr>
            <w:r w:rsidRPr="001C5817">
              <w:rPr>
                <w:rFonts w:ascii="黑体" w:eastAsia="黑体" w:hAnsi="宋体" w:hint="eastAsia"/>
                <w:szCs w:val="21"/>
              </w:rPr>
              <w:t>作</w:t>
            </w:r>
          </w:p>
        </w:tc>
        <w:tc>
          <w:tcPr>
            <w:tcW w:w="4358" w:type="dxa"/>
            <w:tcBorders>
              <w:top w:val="double" w:sz="4" w:space="0" w:color="auto"/>
              <w:left w:val="single" w:sz="8" w:space="0" w:color="auto"/>
              <w:bottom w:val="single" w:sz="8" w:space="0" w:color="auto"/>
              <w:right w:val="single" w:sz="8" w:space="0" w:color="auto"/>
            </w:tcBorders>
          </w:tcPr>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询问病史及进行体格检查</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初步评估病情</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完成病历书写</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完善必要检查</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根据病情对症治疗</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上级医师查房，制定诊疗计划</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请康复治疗师会诊，确定康复治疗方案</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请中医师会诊，确定中医治疗方案</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请理疗科医师会诊，确定理疗方案</w:t>
            </w:r>
          </w:p>
          <w:p w:rsidR="002F51A2" w:rsidRPr="003433B2" w:rsidRDefault="0012599C">
            <w:pPr>
              <w:numPr>
                <w:ilvl w:val="0"/>
                <w:numId w:val="1"/>
              </w:numPr>
              <w:tabs>
                <w:tab w:val="clear" w:pos="357"/>
                <w:tab w:val="left" w:pos="360"/>
              </w:tabs>
              <w:adjustRightInd w:val="0"/>
              <w:snapToGrid w:val="0"/>
              <w:rPr>
                <w:rFonts w:ascii="宋体" w:hAnsi="宋体"/>
                <w:szCs w:val="21"/>
              </w:rPr>
            </w:pPr>
            <w:r w:rsidRPr="003433B2">
              <w:rPr>
                <w:rFonts w:ascii="宋体" w:hAnsi="宋体" w:hint="eastAsia"/>
                <w:color w:val="000000"/>
                <w:szCs w:val="21"/>
              </w:rPr>
              <w:t>签署相关通知书、同意书等</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向患方交待病情</w:t>
            </w:r>
          </w:p>
          <w:p w:rsidR="002F51A2" w:rsidRPr="003433B2" w:rsidRDefault="0012599C">
            <w:pPr>
              <w:numPr>
                <w:ilvl w:val="0"/>
                <w:numId w:val="1"/>
              </w:numPr>
              <w:tabs>
                <w:tab w:val="clear" w:pos="357"/>
                <w:tab w:val="left" w:pos="360"/>
              </w:tabs>
              <w:adjustRightInd w:val="0"/>
              <w:snapToGrid w:val="0"/>
              <w:rPr>
                <w:rFonts w:ascii="宋体" w:hAnsi="宋体"/>
                <w:szCs w:val="21"/>
              </w:rPr>
            </w:pPr>
            <w:r w:rsidRPr="003433B2">
              <w:rPr>
                <w:rFonts w:ascii="宋体" w:hAnsi="宋体" w:hint="eastAsia"/>
                <w:color w:val="000000"/>
                <w:szCs w:val="21"/>
              </w:rPr>
              <w:t>向厂方交待病情</w:t>
            </w:r>
          </w:p>
        </w:tc>
        <w:tc>
          <w:tcPr>
            <w:tcW w:w="4251" w:type="dxa"/>
            <w:tcBorders>
              <w:top w:val="double" w:sz="4" w:space="0" w:color="auto"/>
              <w:left w:val="single" w:sz="8" w:space="0" w:color="auto"/>
              <w:bottom w:val="single" w:sz="8" w:space="0" w:color="auto"/>
              <w:right w:val="single" w:sz="8" w:space="0" w:color="auto"/>
            </w:tcBorders>
          </w:tcPr>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上级医师定期查房，完善诊疗计划</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评估辅助检查的结果</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处理基础性疾病及对症支持治疗</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营养神经，促进神经修复、再生</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中医中药辩证施治</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中医外治及针灸</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物理及康复治疗</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住院医师书写病程记录</w:t>
            </w:r>
          </w:p>
          <w:p w:rsidR="002F51A2" w:rsidRPr="003433B2" w:rsidRDefault="002F51A2">
            <w:pPr>
              <w:tabs>
                <w:tab w:val="left" w:pos="357"/>
              </w:tabs>
              <w:adjustRightInd w:val="0"/>
              <w:snapToGrid w:val="0"/>
              <w:ind w:left="357"/>
              <w:rPr>
                <w:rFonts w:ascii="宋体" w:hAnsi="宋体"/>
                <w:color w:val="000000"/>
                <w:szCs w:val="21"/>
              </w:rPr>
            </w:pPr>
          </w:p>
          <w:p w:rsidR="002F51A2" w:rsidRPr="003433B2" w:rsidRDefault="002F51A2">
            <w:pPr>
              <w:adjustRightInd w:val="0"/>
              <w:snapToGrid w:val="0"/>
              <w:rPr>
                <w:rFonts w:ascii="宋体" w:hAnsi="宋体"/>
                <w:color w:val="000000"/>
                <w:szCs w:val="21"/>
              </w:rPr>
            </w:pPr>
          </w:p>
        </w:tc>
      </w:tr>
      <w:tr w:rsidR="002F51A2" w:rsidRPr="003433B2">
        <w:trPr>
          <w:trHeight w:val="5163"/>
          <w:jc w:val="center"/>
        </w:trPr>
        <w:tc>
          <w:tcPr>
            <w:tcW w:w="588"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重</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点</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医</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嘱</w:t>
            </w:r>
          </w:p>
        </w:tc>
        <w:tc>
          <w:tcPr>
            <w:tcW w:w="4358" w:type="dxa"/>
            <w:tcBorders>
              <w:top w:val="single" w:sz="8" w:space="0" w:color="auto"/>
              <w:left w:val="single" w:sz="8" w:space="0" w:color="auto"/>
              <w:bottom w:val="single" w:sz="8" w:space="0" w:color="auto"/>
              <w:right w:val="single" w:sz="8" w:space="0" w:color="auto"/>
            </w:tcBorders>
          </w:tcPr>
          <w:p w:rsidR="002F51A2" w:rsidRPr="00394024" w:rsidRDefault="0012599C">
            <w:pPr>
              <w:adjustRightInd w:val="0"/>
              <w:snapToGrid w:val="0"/>
              <w:rPr>
                <w:rFonts w:ascii="宋体" w:hAnsi="宋体"/>
                <w:b/>
                <w:szCs w:val="21"/>
              </w:rPr>
            </w:pPr>
            <w:r w:rsidRPr="00394024">
              <w:rPr>
                <w:rFonts w:ascii="宋体" w:hAnsi="宋体" w:hint="eastAsia"/>
                <w:b/>
                <w:szCs w:val="21"/>
              </w:rPr>
              <w:t>长期医嘱：</w:t>
            </w:r>
          </w:p>
          <w:p w:rsidR="002F51A2" w:rsidRPr="00394024" w:rsidRDefault="0012599C">
            <w:pPr>
              <w:numPr>
                <w:ilvl w:val="0"/>
                <w:numId w:val="1"/>
              </w:numPr>
              <w:tabs>
                <w:tab w:val="clear" w:pos="357"/>
                <w:tab w:val="left" w:pos="360"/>
              </w:tabs>
              <w:adjustRightInd w:val="0"/>
              <w:snapToGrid w:val="0"/>
              <w:rPr>
                <w:rFonts w:ascii="宋体" w:hAnsi="宋体"/>
                <w:color w:val="000000"/>
                <w:szCs w:val="21"/>
              </w:rPr>
            </w:pPr>
            <w:r w:rsidRPr="00394024">
              <w:rPr>
                <w:rFonts w:ascii="宋体" w:hAnsi="宋体" w:hint="eastAsia"/>
                <w:color w:val="000000"/>
                <w:szCs w:val="21"/>
              </w:rPr>
              <w:t>职业病科护理常规</w:t>
            </w:r>
          </w:p>
          <w:p w:rsidR="002F51A2" w:rsidRPr="00394024" w:rsidRDefault="0012599C">
            <w:pPr>
              <w:numPr>
                <w:ilvl w:val="0"/>
                <w:numId w:val="1"/>
              </w:numPr>
              <w:tabs>
                <w:tab w:val="clear" w:pos="357"/>
                <w:tab w:val="left" w:pos="360"/>
              </w:tabs>
              <w:adjustRightInd w:val="0"/>
              <w:snapToGrid w:val="0"/>
              <w:rPr>
                <w:rFonts w:ascii="宋体" w:hAnsi="宋体"/>
                <w:color w:val="000000"/>
                <w:szCs w:val="21"/>
              </w:rPr>
            </w:pPr>
            <w:r w:rsidRPr="00394024">
              <w:rPr>
                <w:rFonts w:ascii="宋体" w:hAnsi="宋体" w:hint="eastAsia"/>
                <w:color w:val="000000"/>
                <w:szCs w:val="21"/>
              </w:rPr>
              <w:t>一</w:t>
            </w:r>
            <w:r w:rsidRPr="00394024">
              <w:rPr>
                <w:rFonts w:ascii="宋体" w:hAnsi="宋体"/>
                <w:color w:val="000000"/>
                <w:szCs w:val="21"/>
              </w:rPr>
              <w:t>-</w:t>
            </w:r>
            <w:r w:rsidRPr="00394024">
              <w:rPr>
                <w:rFonts w:ascii="宋体" w:hAnsi="宋体" w:hint="eastAsia"/>
                <w:color w:val="000000"/>
                <w:szCs w:val="21"/>
              </w:rPr>
              <w:t>三级护理（根据病情）</w:t>
            </w:r>
          </w:p>
          <w:p w:rsidR="002F51A2" w:rsidRPr="00394024" w:rsidRDefault="0012599C">
            <w:pPr>
              <w:numPr>
                <w:ilvl w:val="0"/>
                <w:numId w:val="1"/>
              </w:numPr>
              <w:adjustRightInd w:val="0"/>
              <w:snapToGrid w:val="0"/>
              <w:rPr>
                <w:rFonts w:ascii="宋体" w:hAnsi="宋体"/>
                <w:color w:val="000000"/>
                <w:szCs w:val="21"/>
              </w:rPr>
            </w:pPr>
            <w:r w:rsidRPr="00394024">
              <w:rPr>
                <w:rFonts w:ascii="宋体" w:hAnsi="宋体" w:hint="eastAsia"/>
                <w:color w:val="000000"/>
                <w:szCs w:val="21"/>
              </w:rPr>
              <w:t>饮食</w:t>
            </w:r>
          </w:p>
          <w:p w:rsidR="002F51A2" w:rsidRPr="00394024" w:rsidRDefault="0012599C">
            <w:pPr>
              <w:numPr>
                <w:ilvl w:val="0"/>
                <w:numId w:val="1"/>
              </w:numPr>
              <w:tabs>
                <w:tab w:val="clear" w:pos="357"/>
                <w:tab w:val="left" w:pos="360"/>
              </w:tabs>
              <w:adjustRightInd w:val="0"/>
              <w:snapToGrid w:val="0"/>
              <w:rPr>
                <w:rFonts w:ascii="宋体" w:hAnsi="宋体"/>
                <w:color w:val="000000"/>
                <w:szCs w:val="21"/>
              </w:rPr>
            </w:pPr>
            <w:r w:rsidRPr="00394024">
              <w:rPr>
                <w:rFonts w:ascii="宋体" w:hAnsi="宋体" w:hint="eastAsia"/>
                <w:color w:val="000000"/>
                <w:szCs w:val="21"/>
              </w:rPr>
              <w:t>防褥疮护理</w:t>
            </w:r>
          </w:p>
          <w:p w:rsidR="002F51A2" w:rsidRPr="00394024" w:rsidRDefault="0012599C">
            <w:pPr>
              <w:numPr>
                <w:ilvl w:val="0"/>
                <w:numId w:val="1"/>
              </w:numPr>
              <w:adjustRightInd w:val="0"/>
              <w:snapToGrid w:val="0"/>
              <w:rPr>
                <w:rFonts w:ascii="宋体" w:hAnsi="宋体"/>
                <w:color w:val="000000"/>
                <w:szCs w:val="21"/>
              </w:rPr>
            </w:pPr>
            <w:r w:rsidRPr="00394024">
              <w:rPr>
                <w:rFonts w:ascii="宋体" w:hAnsi="宋体" w:hint="eastAsia"/>
                <w:color w:val="000000"/>
                <w:szCs w:val="21"/>
              </w:rPr>
              <w:t>防跌倒、扭伤、烫伤</w:t>
            </w:r>
          </w:p>
          <w:p w:rsidR="002F51A2" w:rsidRPr="00394024" w:rsidRDefault="0012599C">
            <w:pPr>
              <w:numPr>
                <w:ilvl w:val="0"/>
                <w:numId w:val="1"/>
              </w:numPr>
              <w:tabs>
                <w:tab w:val="clear" w:pos="357"/>
                <w:tab w:val="left" w:pos="360"/>
              </w:tabs>
              <w:adjustRightInd w:val="0"/>
              <w:snapToGrid w:val="0"/>
              <w:rPr>
                <w:rFonts w:ascii="宋体" w:hAnsi="宋体"/>
                <w:color w:val="000000"/>
                <w:szCs w:val="21"/>
              </w:rPr>
            </w:pPr>
            <w:r w:rsidRPr="00394024">
              <w:rPr>
                <w:rFonts w:ascii="宋体" w:hAnsi="宋体" w:hint="eastAsia"/>
                <w:color w:val="000000"/>
                <w:szCs w:val="21"/>
              </w:rPr>
              <w:t>既往基础用药</w:t>
            </w:r>
          </w:p>
          <w:p w:rsidR="002F51A2" w:rsidRPr="00394024" w:rsidRDefault="0012599C">
            <w:pPr>
              <w:adjustRightInd w:val="0"/>
              <w:snapToGrid w:val="0"/>
              <w:rPr>
                <w:rFonts w:ascii="宋体" w:hAnsi="宋体"/>
                <w:b/>
                <w:szCs w:val="21"/>
              </w:rPr>
            </w:pPr>
            <w:r w:rsidRPr="00394024">
              <w:rPr>
                <w:rFonts w:ascii="宋体" w:hAnsi="宋体" w:hint="eastAsia"/>
                <w:b/>
                <w:szCs w:val="21"/>
              </w:rPr>
              <w:t>临时医嘱：</w:t>
            </w:r>
          </w:p>
          <w:p w:rsidR="002F51A2" w:rsidRPr="00394024" w:rsidRDefault="0012599C">
            <w:pPr>
              <w:numPr>
                <w:ilvl w:val="0"/>
                <w:numId w:val="1"/>
              </w:numPr>
              <w:tabs>
                <w:tab w:val="clear" w:pos="357"/>
                <w:tab w:val="left" w:pos="360"/>
              </w:tabs>
              <w:adjustRightInd w:val="0"/>
              <w:snapToGrid w:val="0"/>
              <w:rPr>
                <w:rFonts w:ascii="宋体" w:hAnsi="宋体"/>
                <w:color w:val="000000"/>
                <w:szCs w:val="21"/>
              </w:rPr>
            </w:pPr>
            <w:r w:rsidRPr="00394024">
              <w:rPr>
                <w:rFonts w:ascii="宋体" w:hAnsi="宋体" w:hint="eastAsia"/>
                <w:color w:val="000000"/>
                <w:szCs w:val="21"/>
              </w:rPr>
              <w:t>对症治疗</w:t>
            </w:r>
          </w:p>
          <w:p w:rsidR="002F51A2" w:rsidRPr="00394024" w:rsidRDefault="0012599C">
            <w:pPr>
              <w:numPr>
                <w:ilvl w:val="0"/>
                <w:numId w:val="1"/>
              </w:numPr>
              <w:adjustRightInd w:val="0"/>
              <w:snapToGrid w:val="0"/>
              <w:rPr>
                <w:rFonts w:ascii="宋体" w:hAnsi="宋体"/>
                <w:szCs w:val="21"/>
              </w:rPr>
            </w:pPr>
            <w:r w:rsidRPr="00394024">
              <w:rPr>
                <w:rFonts w:ascii="宋体" w:hAnsi="宋体" w:hint="eastAsia"/>
                <w:szCs w:val="21"/>
              </w:rPr>
              <w:t>血常规、尿常规、大便常规</w:t>
            </w:r>
            <w:r w:rsidRPr="00394024">
              <w:rPr>
                <w:rFonts w:ascii="宋体" w:hAnsi="宋体"/>
                <w:szCs w:val="21"/>
              </w:rPr>
              <w:t>+</w:t>
            </w:r>
            <w:r w:rsidRPr="00394024">
              <w:rPr>
                <w:rFonts w:ascii="宋体" w:hAnsi="宋体" w:hint="eastAsia"/>
                <w:szCs w:val="21"/>
              </w:rPr>
              <w:t>潜血</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肝肾心功能、血电解质、血尿酸、血脂、血糖</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血清维生素</w:t>
            </w:r>
            <w:r w:rsidRPr="00394024">
              <w:rPr>
                <w:rFonts w:ascii="宋体" w:hAnsi="宋体"/>
                <w:szCs w:val="21"/>
              </w:rPr>
              <w:t>B12</w:t>
            </w:r>
            <w:r w:rsidRPr="00394024">
              <w:rPr>
                <w:rFonts w:ascii="宋体" w:hAnsi="宋体" w:hint="eastAsia"/>
                <w:szCs w:val="21"/>
              </w:rPr>
              <w:t>测定</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血沉、免疫五项</w:t>
            </w:r>
            <w:r w:rsidRPr="00394024">
              <w:rPr>
                <w:rFonts w:ascii="宋体" w:hAnsi="宋体"/>
                <w:szCs w:val="21"/>
              </w:rPr>
              <w:t>+</w:t>
            </w:r>
            <w:r w:rsidRPr="00394024">
              <w:rPr>
                <w:rFonts w:ascii="宋体" w:hAnsi="宋体" w:hint="eastAsia"/>
                <w:szCs w:val="21"/>
              </w:rPr>
              <w:t>风湿三项</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血FT</w:t>
            </w:r>
            <w:r w:rsidRPr="00394024">
              <w:rPr>
                <w:rFonts w:ascii="宋体" w:hAnsi="宋体" w:hint="eastAsia"/>
                <w:szCs w:val="21"/>
                <w:vertAlign w:val="subscript"/>
              </w:rPr>
              <w:t>3</w:t>
            </w:r>
            <w:r w:rsidRPr="00394024">
              <w:rPr>
                <w:rFonts w:ascii="宋体" w:hAnsi="宋体" w:hint="eastAsia"/>
                <w:szCs w:val="21"/>
              </w:rPr>
              <w:t>、FT</w:t>
            </w:r>
            <w:r w:rsidRPr="00394024">
              <w:rPr>
                <w:rFonts w:ascii="宋体" w:hAnsi="宋体" w:hint="eastAsia"/>
                <w:szCs w:val="21"/>
                <w:vertAlign w:val="subscript"/>
              </w:rPr>
              <w:t>4</w:t>
            </w:r>
            <w:r w:rsidRPr="00394024">
              <w:rPr>
                <w:rFonts w:ascii="宋体" w:hAnsi="宋体" w:hint="eastAsia"/>
                <w:szCs w:val="21"/>
              </w:rPr>
              <w:t>、TSH</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感染性疾病筛查</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尿</w:t>
            </w:r>
            <w:r w:rsidRPr="00394024">
              <w:rPr>
                <w:rFonts w:ascii="宋体" w:hAnsi="宋体"/>
                <w:szCs w:val="21"/>
              </w:rPr>
              <w:t>2,5-</w:t>
            </w:r>
            <w:r w:rsidRPr="00394024">
              <w:rPr>
                <w:rFonts w:ascii="宋体" w:hAnsi="宋体" w:hint="eastAsia"/>
                <w:szCs w:val="21"/>
              </w:rPr>
              <w:t>己二酮</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神经</w:t>
            </w:r>
            <w:r w:rsidRPr="00394024">
              <w:rPr>
                <w:rFonts w:ascii="宋体" w:hAnsi="宋体"/>
                <w:szCs w:val="21"/>
              </w:rPr>
              <w:t>-</w:t>
            </w:r>
            <w:r w:rsidRPr="00394024">
              <w:rPr>
                <w:rFonts w:ascii="宋体" w:hAnsi="宋体" w:hint="eastAsia"/>
                <w:szCs w:val="21"/>
              </w:rPr>
              <w:t>肌电图</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心电图、胸片</w:t>
            </w:r>
          </w:p>
          <w:p w:rsidR="002F51A2" w:rsidRPr="00394024" w:rsidRDefault="0012599C">
            <w:pPr>
              <w:numPr>
                <w:ilvl w:val="0"/>
                <w:numId w:val="1"/>
              </w:numPr>
              <w:tabs>
                <w:tab w:val="clear" w:pos="357"/>
                <w:tab w:val="left" w:pos="360"/>
              </w:tabs>
              <w:adjustRightInd w:val="0"/>
              <w:snapToGrid w:val="0"/>
              <w:rPr>
                <w:rFonts w:ascii="宋体" w:hAnsi="宋体"/>
                <w:szCs w:val="21"/>
              </w:rPr>
            </w:pPr>
            <w:r w:rsidRPr="00394024">
              <w:rPr>
                <w:rFonts w:ascii="宋体" w:hAnsi="宋体" w:hint="eastAsia"/>
                <w:szCs w:val="21"/>
              </w:rPr>
              <w:t>腹部</w:t>
            </w:r>
            <w:r w:rsidRPr="00394024">
              <w:rPr>
                <w:rFonts w:ascii="宋体" w:hAnsi="宋体"/>
                <w:szCs w:val="21"/>
              </w:rPr>
              <w:t>B</w:t>
            </w:r>
            <w:r w:rsidRPr="00394024">
              <w:rPr>
                <w:rFonts w:ascii="宋体" w:hAnsi="宋体" w:hint="eastAsia"/>
                <w:szCs w:val="21"/>
              </w:rPr>
              <w:t>超、泌尿系</w:t>
            </w:r>
            <w:r w:rsidRPr="00394024">
              <w:rPr>
                <w:rFonts w:ascii="宋体" w:hAnsi="宋体"/>
                <w:szCs w:val="21"/>
              </w:rPr>
              <w:t>B</w:t>
            </w:r>
            <w:r w:rsidRPr="00394024">
              <w:rPr>
                <w:rFonts w:ascii="宋体" w:hAnsi="宋体" w:hint="eastAsia"/>
                <w:szCs w:val="21"/>
              </w:rPr>
              <w:t>超</w:t>
            </w:r>
          </w:p>
          <w:p w:rsidR="002F51A2" w:rsidRPr="00394024" w:rsidRDefault="0012599C">
            <w:pPr>
              <w:numPr>
                <w:ilvl w:val="0"/>
                <w:numId w:val="1"/>
              </w:numPr>
              <w:adjustRightInd w:val="0"/>
              <w:snapToGrid w:val="0"/>
              <w:rPr>
                <w:rFonts w:ascii="宋体" w:hAnsi="宋体"/>
                <w:szCs w:val="21"/>
              </w:rPr>
            </w:pPr>
            <w:r w:rsidRPr="00394024">
              <w:rPr>
                <w:rFonts w:ascii="宋体" w:hAnsi="宋体" w:hint="eastAsia"/>
                <w:szCs w:val="21"/>
              </w:rPr>
              <w:t>眼科检查（视力、</w:t>
            </w:r>
            <w:r w:rsidRPr="00394024">
              <w:rPr>
                <w:rFonts w:ascii="宋体" w:hAnsi="宋体"/>
                <w:szCs w:val="21"/>
              </w:rPr>
              <w:t>视野、辨色力、眼底</w:t>
            </w:r>
            <w:r w:rsidRPr="00394024">
              <w:rPr>
                <w:rFonts w:ascii="宋体" w:hAnsi="宋体" w:hint="eastAsia"/>
                <w:szCs w:val="21"/>
              </w:rPr>
              <w:t>检查）</w:t>
            </w:r>
          </w:p>
          <w:p w:rsidR="002F51A2" w:rsidRPr="00394024" w:rsidRDefault="0012599C">
            <w:pPr>
              <w:numPr>
                <w:ilvl w:val="0"/>
                <w:numId w:val="1"/>
              </w:numPr>
              <w:tabs>
                <w:tab w:val="clear" w:pos="357"/>
                <w:tab w:val="left" w:pos="360"/>
              </w:tabs>
              <w:adjustRightInd w:val="0"/>
              <w:snapToGrid w:val="0"/>
              <w:rPr>
                <w:rFonts w:ascii="宋体" w:hAnsi="宋体"/>
                <w:color w:val="000000"/>
                <w:szCs w:val="21"/>
              </w:rPr>
            </w:pPr>
            <w:r w:rsidRPr="00394024">
              <w:rPr>
                <w:rFonts w:ascii="宋体" w:hAnsi="宋体" w:hint="eastAsia"/>
                <w:color w:val="000000"/>
                <w:szCs w:val="21"/>
              </w:rPr>
              <w:t>诱发电位（必要时）</w:t>
            </w:r>
          </w:p>
          <w:p w:rsidR="002F51A2" w:rsidRPr="00394024" w:rsidRDefault="0012599C">
            <w:pPr>
              <w:numPr>
                <w:ilvl w:val="0"/>
                <w:numId w:val="1"/>
              </w:numPr>
              <w:adjustRightInd w:val="0"/>
              <w:snapToGrid w:val="0"/>
              <w:rPr>
                <w:rFonts w:ascii="宋体" w:hAnsi="宋体"/>
                <w:szCs w:val="21"/>
              </w:rPr>
            </w:pPr>
            <w:r w:rsidRPr="00394024">
              <w:rPr>
                <w:rFonts w:ascii="宋体" w:hAnsi="宋体" w:hint="eastAsia"/>
                <w:color w:val="000000"/>
                <w:szCs w:val="21"/>
              </w:rPr>
              <w:t>神</w:t>
            </w:r>
            <w:r w:rsidRPr="00394024">
              <w:rPr>
                <w:rFonts w:ascii="宋体" w:hAnsi="宋体" w:hint="eastAsia"/>
                <w:szCs w:val="21"/>
              </w:rPr>
              <w:t>经活检（必要时）</w:t>
            </w:r>
          </w:p>
          <w:p w:rsidR="002F51A2" w:rsidRPr="00394024" w:rsidRDefault="0012599C">
            <w:pPr>
              <w:numPr>
                <w:ilvl w:val="0"/>
                <w:numId w:val="1"/>
              </w:numPr>
              <w:adjustRightInd w:val="0"/>
              <w:snapToGrid w:val="0"/>
              <w:rPr>
                <w:rFonts w:ascii="宋体" w:hAnsi="宋体"/>
                <w:szCs w:val="21"/>
              </w:rPr>
            </w:pPr>
            <w:r w:rsidRPr="00394024">
              <w:rPr>
                <w:rFonts w:ascii="宋体" w:hAnsi="宋体" w:hint="eastAsia"/>
                <w:szCs w:val="21"/>
              </w:rPr>
              <w:t>头颅CT\MRI+强化（必要时）</w:t>
            </w:r>
          </w:p>
          <w:p w:rsidR="002F51A2" w:rsidRPr="00394024" w:rsidRDefault="0012599C">
            <w:pPr>
              <w:numPr>
                <w:ilvl w:val="0"/>
                <w:numId w:val="1"/>
              </w:numPr>
              <w:adjustRightInd w:val="0"/>
              <w:snapToGrid w:val="0"/>
              <w:rPr>
                <w:rFonts w:ascii="宋体" w:hAnsi="宋体"/>
                <w:szCs w:val="21"/>
              </w:rPr>
            </w:pPr>
            <w:r w:rsidRPr="00394024">
              <w:rPr>
                <w:rFonts w:ascii="宋体" w:hAnsi="宋体" w:hint="eastAsia"/>
                <w:szCs w:val="21"/>
              </w:rPr>
              <w:t>脑电图（必要时）</w:t>
            </w:r>
          </w:p>
          <w:p w:rsidR="002F51A2" w:rsidRPr="00394024" w:rsidRDefault="0012599C">
            <w:pPr>
              <w:numPr>
                <w:ilvl w:val="0"/>
                <w:numId w:val="1"/>
              </w:numPr>
              <w:adjustRightInd w:val="0"/>
              <w:snapToGrid w:val="0"/>
              <w:rPr>
                <w:rFonts w:ascii="宋体" w:hAnsi="宋体"/>
                <w:color w:val="000000"/>
                <w:szCs w:val="21"/>
              </w:rPr>
            </w:pPr>
            <w:r w:rsidRPr="00394024">
              <w:rPr>
                <w:rFonts w:ascii="宋体" w:hAnsi="宋体" w:hint="eastAsia"/>
                <w:szCs w:val="21"/>
              </w:rPr>
              <w:t>腰穿（脑脊液常规、生化、涂片找细菌、脑脊液免疫球蛋白检查、</w:t>
            </w:r>
            <w:r w:rsidRPr="00394024">
              <w:rPr>
                <w:rFonts w:ascii="宋体" w:hAnsi="宋体" w:hint="eastAsia"/>
                <w:color w:val="000000"/>
                <w:szCs w:val="21"/>
              </w:rPr>
              <w:t>穿刺细胞学病理检查）</w:t>
            </w:r>
            <w:r w:rsidRPr="00394024">
              <w:rPr>
                <w:rFonts w:ascii="宋体" w:hAnsi="宋体"/>
                <w:color w:val="000000"/>
                <w:szCs w:val="21"/>
              </w:rPr>
              <w:t>（必要时）</w:t>
            </w:r>
          </w:p>
        </w:tc>
        <w:tc>
          <w:tcPr>
            <w:tcW w:w="4251" w:type="dxa"/>
            <w:tcBorders>
              <w:top w:val="single" w:sz="8" w:space="0" w:color="auto"/>
              <w:left w:val="single" w:sz="8" w:space="0" w:color="auto"/>
              <w:bottom w:val="single" w:sz="8" w:space="0" w:color="auto"/>
              <w:right w:val="single" w:sz="8" w:space="0" w:color="auto"/>
            </w:tcBorders>
          </w:tcPr>
          <w:p w:rsidR="002F51A2" w:rsidRPr="003433B2" w:rsidRDefault="0012599C">
            <w:pPr>
              <w:adjustRightInd w:val="0"/>
              <w:snapToGrid w:val="0"/>
              <w:rPr>
                <w:rFonts w:ascii="宋体" w:hAnsi="宋体"/>
                <w:b/>
                <w:szCs w:val="21"/>
              </w:rPr>
            </w:pPr>
            <w:r w:rsidRPr="003433B2">
              <w:rPr>
                <w:rFonts w:ascii="宋体" w:hAnsi="宋体" w:hint="eastAsia"/>
                <w:b/>
                <w:color w:val="000000"/>
                <w:szCs w:val="21"/>
              </w:rPr>
              <w:t>长期医嘱</w:t>
            </w:r>
            <w:r w:rsidRPr="003433B2">
              <w:rPr>
                <w:rFonts w:ascii="宋体" w:hAnsi="宋体" w:hint="eastAsia"/>
                <w:b/>
                <w:szCs w:val="21"/>
              </w:rPr>
              <w:t>：</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职业病科护理常规</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一</w:t>
            </w:r>
            <w:r w:rsidRPr="003433B2">
              <w:rPr>
                <w:rFonts w:ascii="宋体" w:hAnsi="宋体"/>
                <w:color w:val="000000"/>
                <w:szCs w:val="21"/>
              </w:rPr>
              <w:t>-</w:t>
            </w:r>
            <w:r w:rsidRPr="003433B2">
              <w:rPr>
                <w:rFonts w:ascii="宋体" w:hAnsi="宋体" w:hint="eastAsia"/>
                <w:color w:val="000000"/>
                <w:szCs w:val="21"/>
              </w:rPr>
              <w:t>三级护理（根据病情）</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饮食</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防褥疮护理</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防跌倒、扭伤、烫伤</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既往基础用药</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神经生长因子：具体疗程数根据病情而定</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color w:val="000000"/>
                <w:szCs w:val="21"/>
              </w:rPr>
              <w:t>B族</w:t>
            </w:r>
            <w:r w:rsidRPr="003433B2">
              <w:rPr>
                <w:rFonts w:ascii="宋体" w:hAnsi="宋体" w:hint="eastAsia"/>
                <w:color w:val="000000"/>
                <w:szCs w:val="21"/>
              </w:rPr>
              <w:t>维生素</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能量合剂</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活血化瘀的药物</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通经活络的药物</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扶正补肾的药物</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支持治疗（加强营养）</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其他医嘱</w:t>
            </w:r>
          </w:p>
          <w:p w:rsidR="002F51A2" w:rsidRPr="003433B2" w:rsidRDefault="0012599C">
            <w:pPr>
              <w:numPr>
                <w:ilvl w:val="255"/>
                <w:numId w:val="0"/>
              </w:numPr>
              <w:tabs>
                <w:tab w:val="left" w:pos="360"/>
              </w:tabs>
              <w:adjustRightInd w:val="0"/>
              <w:snapToGrid w:val="0"/>
              <w:rPr>
                <w:rFonts w:ascii="宋体" w:hAnsi="宋体"/>
                <w:b/>
                <w:bCs/>
                <w:color w:val="000000"/>
                <w:szCs w:val="21"/>
              </w:rPr>
            </w:pPr>
            <w:r w:rsidRPr="003433B2">
              <w:rPr>
                <w:rFonts w:ascii="宋体" w:hAnsi="宋体" w:hint="eastAsia"/>
                <w:b/>
                <w:bCs/>
                <w:color w:val="000000"/>
                <w:szCs w:val="21"/>
              </w:rPr>
              <w:t>临时医嘱：</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对症治疗</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中医外治</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针灸</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物理治疗</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康复锻炼</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中医中药辩证施治</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神经</w:t>
            </w:r>
            <w:r w:rsidRPr="003433B2">
              <w:rPr>
                <w:rFonts w:ascii="宋体" w:hAnsi="宋体"/>
                <w:color w:val="000000"/>
                <w:szCs w:val="21"/>
              </w:rPr>
              <w:t>-</w:t>
            </w:r>
            <w:r w:rsidRPr="003433B2">
              <w:rPr>
                <w:rFonts w:ascii="宋体" w:hAnsi="宋体" w:hint="eastAsia"/>
                <w:color w:val="000000"/>
                <w:szCs w:val="21"/>
              </w:rPr>
              <w:t>肌电图：每</w:t>
            </w:r>
            <w:r w:rsidRPr="003433B2">
              <w:rPr>
                <w:rFonts w:ascii="宋体" w:hAnsi="宋体"/>
                <w:color w:val="000000"/>
                <w:szCs w:val="21"/>
              </w:rPr>
              <w:t>1</w:t>
            </w:r>
            <w:r w:rsidRPr="003433B2">
              <w:rPr>
                <w:rFonts w:ascii="宋体" w:hAnsi="宋体" w:hint="eastAsia"/>
                <w:color w:val="000000"/>
                <w:szCs w:val="21"/>
              </w:rPr>
              <w:t>～</w:t>
            </w:r>
            <w:r w:rsidRPr="003433B2">
              <w:rPr>
                <w:rFonts w:ascii="宋体" w:hAnsi="宋体"/>
                <w:color w:val="000000"/>
                <w:szCs w:val="21"/>
              </w:rPr>
              <w:t>2</w:t>
            </w:r>
            <w:r w:rsidRPr="003433B2">
              <w:rPr>
                <w:rFonts w:ascii="宋体" w:hAnsi="宋体" w:hint="eastAsia"/>
                <w:color w:val="000000"/>
                <w:szCs w:val="21"/>
              </w:rPr>
              <w:t>月进行复查</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其他异常指标复查</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进行其他相关检查</w:t>
            </w:r>
          </w:p>
          <w:p w:rsidR="002F51A2" w:rsidRPr="003433B2" w:rsidRDefault="002F51A2">
            <w:pPr>
              <w:tabs>
                <w:tab w:val="left" w:pos="357"/>
              </w:tabs>
              <w:adjustRightInd w:val="0"/>
              <w:snapToGrid w:val="0"/>
              <w:rPr>
                <w:rFonts w:ascii="宋体" w:hAnsi="宋体"/>
                <w:color w:val="000000"/>
                <w:szCs w:val="21"/>
              </w:rPr>
            </w:pPr>
          </w:p>
        </w:tc>
      </w:tr>
      <w:tr w:rsidR="002F51A2" w:rsidRPr="003433B2">
        <w:trPr>
          <w:cantSplit/>
          <w:trHeight w:val="2477"/>
          <w:jc w:val="center"/>
        </w:trPr>
        <w:tc>
          <w:tcPr>
            <w:tcW w:w="588"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宋体" w:eastAsia="黑体" w:hAnsi="宋体"/>
                <w:color w:val="000000"/>
                <w:szCs w:val="21"/>
              </w:rPr>
            </w:pPr>
            <w:r w:rsidRPr="001C5817">
              <w:rPr>
                <w:rFonts w:ascii="宋体" w:eastAsia="黑体" w:hAnsi="宋体" w:hint="eastAsia"/>
                <w:color w:val="000000"/>
                <w:szCs w:val="21"/>
              </w:rPr>
              <w:lastRenderedPageBreak/>
              <w:t>护理</w:t>
            </w:r>
          </w:p>
          <w:p w:rsidR="002F51A2" w:rsidRPr="001C5817" w:rsidRDefault="0012599C">
            <w:pPr>
              <w:adjustRightInd w:val="0"/>
              <w:snapToGrid w:val="0"/>
              <w:jc w:val="center"/>
              <w:rPr>
                <w:rFonts w:ascii="宋体" w:eastAsia="黑体" w:hAnsi="宋体"/>
                <w:color w:val="000000"/>
                <w:szCs w:val="21"/>
              </w:rPr>
            </w:pPr>
            <w:r w:rsidRPr="001C5817">
              <w:rPr>
                <w:rFonts w:ascii="宋体" w:eastAsia="黑体" w:hAnsi="宋体" w:hint="eastAsia"/>
                <w:color w:val="000000"/>
                <w:szCs w:val="21"/>
              </w:rPr>
              <w:t>工作</w:t>
            </w:r>
          </w:p>
          <w:p w:rsidR="002F51A2" w:rsidRPr="001C5817" w:rsidRDefault="002F51A2">
            <w:pPr>
              <w:keepNext/>
              <w:keepLines/>
              <w:adjustRightInd w:val="0"/>
              <w:snapToGrid w:val="0"/>
              <w:spacing w:before="340" w:after="330" w:line="578" w:lineRule="auto"/>
              <w:jc w:val="center"/>
              <w:rPr>
                <w:rFonts w:ascii="黑体" w:eastAsia="黑体" w:hAnsi="宋体"/>
                <w:szCs w:val="21"/>
              </w:rPr>
            </w:pPr>
          </w:p>
        </w:tc>
        <w:tc>
          <w:tcPr>
            <w:tcW w:w="4358" w:type="dxa"/>
            <w:tcBorders>
              <w:top w:val="single" w:sz="8" w:space="0" w:color="auto"/>
              <w:left w:val="single" w:sz="8" w:space="0" w:color="auto"/>
              <w:bottom w:val="single" w:sz="8" w:space="0" w:color="auto"/>
              <w:right w:val="single" w:sz="8" w:space="0" w:color="auto"/>
            </w:tcBorders>
          </w:tcPr>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病房环境、医院制度及医护人员介绍</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入院护理评估</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告知各项检查注意事项并协助患者完成</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指导康复锻炼</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指导留尿</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静脉取血</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入院健康宣教</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心理护理</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通知主管医师，通知饭堂新患者饮食</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完成护理记录书写</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执行医嘱，用药指导</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告知患者注意防止跌倒、扭伤、烫伤</w:t>
            </w:r>
          </w:p>
          <w:p w:rsidR="002F51A2" w:rsidRPr="00CC61E3" w:rsidRDefault="0012599C" w:rsidP="00CC61E3">
            <w:pPr>
              <w:numPr>
                <w:ilvl w:val="0"/>
                <w:numId w:val="1"/>
              </w:numPr>
              <w:tabs>
                <w:tab w:val="clear" w:pos="357"/>
                <w:tab w:val="left" w:pos="360"/>
              </w:tabs>
              <w:adjustRightInd w:val="0"/>
              <w:snapToGrid w:val="0"/>
              <w:ind w:left="0" w:firstLine="0"/>
              <w:rPr>
                <w:rFonts w:ascii="宋体" w:hAnsi="宋体"/>
                <w:color w:val="000000"/>
                <w:szCs w:val="21"/>
              </w:rPr>
            </w:pPr>
            <w:r w:rsidRPr="003433B2">
              <w:rPr>
                <w:rFonts w:ascii="宋体" w:hAnsi="宋体" w:hint="eastAsia"/>
                <w:color w:val="000000"/>
                <w:szCs w:val="21"/>
              </w:rPr>
              <w:t>肢体瘫痪严重者，注意维持肢体功能位置，并加强防褥疮</w:t>
            </w:r>
            <w:r w:rsidRPr="00CC61E3">
              <w:rPr>
                <w:rFonts w:ascii="宋体" w:hAnsi="宋体" w:hint="eastAsia"/>
                <w:color w:val="000000"/>
                <w:szCs w:val="21"/>
              </w:rPr>
              <w:t>护理</w:t>
            </w:r>
          </w:p>
        </w:tc>
        <w:tc>
          <w:tcPr>
            <w:tcW w:w="4251" w:type="dxa"/>
            <w:tcBorders>
              <w:top w:val="single" w:sz="8" w:space="0" w:color="auto"/>
              <w:left w:val="single" w:sz="8" w:space="0" w:color="auto"/>
              <w:bottom w:val="single" w:sz="8" w:space="0" w:color="auto"/>
              <w:right w:val="single" w:sz="8" w:space="0" w:color="auto"/>
            </w:tcBorders>
          </w:tcPr>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观察患者一般情况及病情变化</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检验、检查前的宣教</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做好住院期间的健康宣教</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指导康复锻炼</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正确落实各项治疗性护理措施</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护理安全措施到位，防止跌倒、扭伤、烫伤</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给予正确的饮食指导</w:t>
            </w:r>
          </w:p>
          <w:p w:rsidR="002F51A2" w:rsidRPr="003433B2" w:rsidRDefault="0012599C">
            <w:pPr>
              <w:numPr>
                <w:ilvl w:val="0"/>
                <w:numId w:val="1"/>
              </w:numPr>
              <w:tabs>
                <w:tab w:val="clear" w:pos="357"/>
                <w:tab w:val="left" w:pos="360"/>
              </w:tabs>
              <w:adjustRightInd w:val="0"/>
              <w:snapToGrid w:val="0"/>
              <w:rPr>
                <w:rFonts w:ascii="宋体" w:hAnsi="宋体"/>
                <w:color w:val="000000"/>
                <w:szCs w:val="21"/>
              </w:rPr>
            </w:pPr>
            <w:r w:rsidRPr="003433B2">
              <w:rPr>
                <w:rFonts w:ascii="宋体" w:hAnsi="宋体" w:hint="eastAsia"/>
                <w:color w:val="000000"/>
                <w:szCs w:val="21"/>
              </w:rPr>
              <w:t>指导留尿</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静脉取血</w:t>
            </w:r>
          </w:p>
          <w:p w:rsidR="002F51A2" w:rsidRPr="003433B2" w:rsidRDefault="0012599C">
            <w:pPr>
              <w:numPr>
                <w:ilvl w:val="0"/>
                <w:numId w:val="1"/>
              </w:numPr>
              <w:adjustRightInd w:val="0"/>
              <w:snapToGrid w:val="0"/>
              <w:rPr>
                <w:rFonts w:ascii="宋体" w:hAnsi="宋体"/>
                <w:color w:val="000000"/>
                <w:szCs w:val="21"/>
              </w:rPr>
            </w:pPr>
            <w:r w:rsidRPr="003433B2">
              <w:rPr>
                <w:rFonts w:ascii="宋体" w:hAnsi="宋体" w:hint="eastAsia"/>
                <w:color w:val="000000"/>
                <w:szCs w:val="21"/>
              </w:rPr>
              <w:t>了解患者心理需求和变化，做好心理护理</w:t>
            </w:r>
          </w:p>
          <w:p w:rsidR="002F51A2" w:rsidRPr="003433B2" w:rsidRDefault="0012599C">
            <w:pPr>
              <w:numPr>
                <w:ilvl w:val="0"/>
                <w:numId w:val="1"/>
              </w:numPr>
              <w:tabs>
                <w:tab w:val="clear" w:pos="357"/>
                <w:tab w:val="left" w:pos="360"/>
              </w:tabs>
              <w:adjustRightInd w:val="0"/>
              <w:snapToGrid w:val="0"/>
              <w:ind w:left="0" w:firstLine="0"/>
              <w:rPr>
                <w:rFonts w:ascii="宋体" w:hAnsi="宋体"/>
                <w:color w:val="000000"/>
                <w:szCs w:val="21"/>
              </w:rPr>
            </w:pPr>
            <w:r w:rsidRPr="003433B2">
              <w:rPr>
                <w:rFonts w:ascii="宋体" w:hAnsi="宋体" w:hint="eastAsia"/>
                <w:color w:val="000000"/>
                <w:szCs w:val="21"/>
              </w:rPr>
              <w:t>肢体瘫痪严重者，注意维持肢体功能位置，并加强防褥疮</w:t>
            </w:r>
          </w:p>
          <w:p w:rsidR="002F51A2" w:rsidRPr="003433B2" w:rsidRDefault="0012599C">
            <w:pPr>
              <w:numPr>
                <w:ilvl w:val="255"/>
                <w:numId w:val="0"/>
              </w:numPr>
              <w:adjustRightInd w:val="0"/>
              <w:snapToGrid w:val="0"/>
              <w:rPr>
                <w:rFonts w:ascii="宋体" w:hAnsi="宋体"/>
                <w:color w:val="000000"/>
                <w:szCs w:val="21"/>
              </w:rPr>
            </w:pPr>
            <w:r w:rsidRPr="003433B2">
              <w:rPr>
                <w:rFonts w:ascii="宋体" w:hAnsi="宋体" w:hint="eastAsia"/>
                <w:color w:val="000000"/>
                <w:szCs w:val="21"/>
              </w:rPr>
              <w:t>护理</w:t>
            </w:r>
          </w:p>
          <w:p w:rsidR="002F51A2" w:rsidRPr="003433B2" w:rsidRDefault="002F51A2">
            <w:pPr>
              <w:adjustRightInd w:val="0"/>
              <w:snapToGrid w:val="0"/>
              <w:rPr>
                <w:rFonts w:ascii="宋体" w:hAnsi="宋体"/>
                <w:szCs w:val="21"/>
              </w:rPr>
            </w:pPr>
          </w:p>
        </w:tc>
      </w:tr>
      <w:tr w:rsidR="002F51A2" w:rsidRPr="003433B2">
        <w:trPr>
          <w:trHeight w:val="566"/>
          <w:jc w:val="center"/>
        </w:trPr>
        <w:tc>
          <w:tcPr>
            <w:tcW w:w="588"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病情变异记录</w:t>
            </w:r>
          </w:p>
        </w:tc>
        <w:tc>
          <w:tcPr>
            <w:tcW w:w="4358" w:type="dxa"/>
            <w:tcBorders>
              <w:top w:val="single" w:sz="8" w:space="0" w:color="auto"/>
              <w:left w:val="single" w:sz="8" w:space="0" w:color="auto"/>
              <w:bottom w:val="single" w:sz="8" w:space="0" w:color="auto"/>
              <w:right w:val="single" w:sz="8" w:space="0" w:color="auto"/>
            </w:tcBorders>
          </w:tcPr>
          <w:p w:rsidR="002F51A2" w:rsidRPr="003433B2" w:rsidRDefault="0012599C">
            <w:pPr>
              <w:tabs>
                <w:tab w:val="left" w:pos="357"/>
              </w:tabs>
              <w:adjustRightInd w:val="0"/>
              <w:snapToGrid w:val="0"/>
              <w:rPr>
                <w:rFonts w:ascii="宋体" w:hAnsi="宋体"/>
                <w:color w:val="000000"/>
                <w:szCs w:val="21"/>
              </w:rPr>
            </w:pPr>
            <w:r w:rsidRPr="003433B2">
              <w:rPr>
                <w:rFonts w:ascii="宋体" w:hAnsi="宋体" w:hint="eastAsia"/>
                <w:color w:val="000000"/>
                <w:szCs w:val="21"/>
              </w:rPr>
              <w:t>□无□有，原因：</w:t>
            </w:r>
          </w:p>
          <w:p w:rsidR="002F51A2" w:rsidRPr="003433B2" w:rsidRDefault="0012599C">
            <w:pPr>
              <w:tabs>
                <w:tab w:val="left" w:pos="357"/>
              </w:tabs>
              <w:adjustRightInd w:val="0"/>
              <w:snapToGrid w:val="0"/>
              <w:rPr>
                <w:rFonts w:ascii="宋体" w:hAnsi="宋体"/>
                <w:color w:val="000000"/>
                <w:szCs w:val="21"/>
              </w:rPr>
            </w:pPr>
            <w:r w:rsidRPr="003433B2">
              <w:rPr>
                <w:rFonts w:ascii="宋体" w:hAnsi="宋体" w:hint="eastAsia"/>
                <w:color w:val="000000"/>
                <w:szCs w:val="21"/>
              </w:rPr>
              <w:t>□</w:t>
            </w:r>
            <w:r w:rsidRPr="003433B2">
              <w:rPr>
                <w:rFonts w:ascii="宋体" w:hAnsi="宋体"/>
                <w:color w:val="000000"/>
                <w:szCs w:val="21"/>
              </w:rPr>
              <w:t>1.</w:t>
            </w:r>
          </w:p>
          <w:p w:rsidR="002F51A2" w:rsidRPr="003433B2" w:rsidRDefault="0012599C">
            <w:pPr>
              <w:tabs>
                <w:tab w:val="left" w:pos="357"/>
              </w:tabs>
              <w:adjustRightInd w:val="0"/>
              <w:snapToGrid w:val="0"/>
              <w:rPr>
                <w:rFonts w:ascii="宋体" w:hAnsi="宋体"/>
                <w:color w:val="000000"/>
                <w:szCs w:val="21"/>
              </w:rPr>
            </w:pPr>
            <w:r w:rsidRPr="003433B2">
              <w:rPr>
                <w:rFonts w:ascii="宋体" w:hAnsi="宋体" w:hint="eastAsia"/>
                <w:color w:val="000000"/>
                <w:szCs w:val="21"/>
              </w:rPr>
              <w:t>□</w:t>
            </w:r>
            <w:r w:rsidRPr="003433B2">
              <w:rPr>
                <w:rFonts w:ascii="宋体" w:hAnsi="宋体"/>
                <w:color w:val="000000"/>
                <w:szCs w:val="21"/>
              </w:rPr>
              <w:t>2.</w:t>
            </w:r>
          </w:p>
        </w:tc>
        <w:tc>
          <w:tcPr>
            <w:tcW w:w="4251" w:type="dxa"/>
            <w:tcBorders>
              <w:top w:val="single" w:sz="8" w:space="0" w:color="auto"/>
              <w:left w:val="single" w:sz="8" w:space="0" w:color="auto"/>
              <w:bottom w:val="single" w:sz="8" w:space="0" w:color="auto"/>
              <w:right w:val="single" w:sz="8" w:space="0" w:color="auto"/>
            </w:tcBorders>
          </w:tcPr>
          <w:p w:rsidR="002F51A2" w:rsidRPr="003433B2" w:rsidRDefault="0012599C">
            <w:pPr>
              <w:tabs>
                <w:tab w:val="left" w:pos="357"/>
              </w:tabs>
              <w:adjustRightInd w:val="0"/>
              <w:snapToGrid w:val="0"/>
              <w:rPr>
                <w:rFonts w:ascii="宋体" w:hAnsi="宋体"/>
                <w:color w:val="000000"/>
                <w:szCs w:val="21"/>
              </w:rPr>
            </w:pPr>
            <w:r w:rsidRPr="003433B2">
              <w:rPr>
                <w:rFonts w:ascii="宋体" w:hAnsi="宋体" w:hint="eastAsia"/>
                <w:color w:val="000000"/>
                <w:szCs w:val="21"/>
              </w:rPr>
              <w:t>□无□有，原因：</w:t>
            </w:r>
          </w:p>
          <w:p w:rsidR="002F51A2" w:rsidRPr="003433B2" w:rsidRDefault="0012599C">
            <w:pPr>
              <w:tabs>
                <w:tab w:val="left" w:pos="357"/>
              </w:tabs>
              <w:adjustRightInd w:val="0"/>
              <w:snapToGrid w:val="0"/>
              <w:rPr>
                <w:rFonts w:ascii="宋体" w:hAnsi="宋体"/>
                <w:color w:val="000000"/>
                <w:szCs w:val="21"/>
              </w:rPr>
            </w:pPr>
            <w:r w:rsidRPr="003433B2">
              <w:rPr>
                <w:rFonts w:ascii="宋体" w:hAnsi="宋体" w:hint="eastAsia"/>
                <w:color w:val="000000"/>
                <w:szCs w:val="21"/>
              </w:rPr>
              <w:t>□</w:t>
            </w:r>
            <w:r w:rsidRPr="003433B2">
              <w:rPr>
                <w:rFonts w:ascii="宋体" w:hAnsi="宋体"/>
                <w:color w:val="000000"/>
                <w:szCs w:val="21"/>
              </w:rPr>
              <w:t>1.</w:t>
            </w:r>
          </w:p>
          <w:p w:rsidR="002F51A2" w:rsidRPr="003433B2" w:rsidRDefault="0012599C">
            <w:pPr>
              <w:tabs>
                <w:tab w:val="left" w:pos="357"/>
              </w:tabs>
              <w:adjustRightInd w:val="0"/>
              <w:snapToGrid w:val="0"/>
              <w:rPr>
                <w:rFonts w:ascii="宋体" w:hAnsi="宋体"/>
                <w:color w:val="000000"/>
                <w:szCs w:val="21"/>
              </w:rPr>
            </w:pPr>
            <w:r w:rsidRPr="003433B2">
              <w:rPr>
                <w:rFonts w:ascii="宋体" w:hAnsi="宋体" w:hint="eastAsia"/>
                <w:color w:val="000000"/>
                <w:szCs w:val="21"/>
              </w:rPr>
              <w:t>□</w:t>
            </w:r>
            <w:r w:rsidRPr="003433B2">
              <w:rPr>
                <w:rFonts w:ascii="宋体" w:hAnsi="宋体"/>
                <w:color w:val="000000"/>
                <w:szCs w:val="21"/>
              </w:rPr>
              <w:t>2.</w:t>
            </w:r>
          </w:p>
        </w:tc>
      </w:tr>
      <w:tr w:rsidR="002F51A2" w:rsidRPr="003433B2">
        <w:trPr>
          <w:cantSplit/>
          <w:trHeight w:val="90"/>
          <w:jc w:val="center"/>
        </w:trPr>
        <w:tc>
          <w:tcPr>
            <w:tcW w:w="588"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护士签名</w:t>
            </w:r>
          </w:p>
        </w:tc>
        <w:tc>
          <w:tcPr>
            <w:tcW w:w="4358" w:type="dxa"/>
            <w:tcBorders>
              <w:top w:val="single" w:sz="8" w:space="0" w:color="auto"/>
              <w:left w:val="single" w:sz="8" w:space="0" w:color="auto"/>
              <w:bottom w:val="single" w:sz="8" w:space="0" w:color="auto"/>
              <w:right w:val="single" w:sz="8" w:space="0" w:color="auto"/>
            </w:tcBorders>
          </w:tcPr>
          <w:p w:rsidR="002F51A2" w:rsidRPr="003433B2" w:rsidRDefault="002F51A2">
            <w:pPr>
              <w:adjustRightInd w:val="0"/>
              <w:snapToGrid w:val="0"/>
              <w:rPr>
                <w:rFonts w:ascii="宋体" w:hAnsi="宋体"/>
                <w:szCs w:val="21"/>
              </w:rPr>
            </w:pPr>
          </w:p>
        </w:tc>
        <w:tc>
          <w:tcPr>
            <w:tcW w:w="4251" w:type="dxa"/>
            <w:tcBorders>
              <w:top w:val="single" w:sz="8" w:space="0" w:color="auto"/>
              <w:left w:val="single" w:sz="8" w:space="0" w:color="auto"/>
              <w:bottom w:val="single" w:sz="8" w:space="0" w:color="auto"/>
              <w:right w:val="single" w:sz="8" w:space="0" w:color="auto"/>
            </w:tcBorders>
          </w:tcPr>
          <w:p w:rsidR="002F51A2" w:rsidRPr="003433B2" w:rsidRDefault="002F51A2">
            <w:pPr>
              <w:adjustRightInd w:val="0"/>
              <w:snapToGrid w:val="0"/>
              <w:jc w:val="center"/>
              <w:rPr>
                <w:rFonts w:ascii="宋体" w:hAnsi="宋体"/>
                <w:szCs w:val="21"/>
              </w:rPr>
            </w:pPr>
          </w:p>
        </w:tc>
      </w:tr>
      <w:tr w:rsidR="002F51A2" w:rsidRPr="003433B2">
        <w:trPr>
          <w:cantSplit/>
          <w:trHeight w:val="90"/>
          <w:jc w:val="center"/>
        </w:trPr>
        <w:tc>
          <w:tcPr>
            <w:tcW w:w="588"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医师</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签名</w:t>
            </w:r>
          </w:p>
        </w:tc>
        <w:tc>
          <w:tcPr>
            <w:tcW w:w="4358" w:type="dxa"/>
            <w:tcBorders>
              <w:top w:val="single" w:sz="8" w:space="0" w:color="auto"/>
              <w:left w:val="single" w:sz="8" w:space="0" w:color="auto"/>
              <w:bottom w:val="single" w:sz="8" w:space="0" w:color="auto"/>
              <w:right w:val="single" w:sz="8" w:space="0" w:color="auto"/>
            </w:tcBorders>
          </w:tcPr>
          <w:p w:rsidR="002F51A2" w:rsidRPr="003433B2" w:rsidRDefault="002F51A2">
            <w:pPr>
              <w:adjustRightInd w:val="0"/>
              <w:snapToGrid w:val="0"/>
              <w:rPr>
                <w:rFonts w:ascii="宋体" w:hAnsi="宋体"/>
                <w:szCs w:val="21"/>
              </w:rPr>
            </w:pPr>
          </w:p>
          <w:p w:rsidR="002F51A2" w:rsidRPr="003433B2" w:rsidRDefault="002F51A2">
            <w:pPr>
              <w:adjustRightInd w:val="0"/>
              <w:snapToGrid w:val="0"/>
              <w:rPr>
                <w:rFonts w:ascii="宋体" w:hAnsi="宋体"/>
                <w:szCs w:val="21"/>
              </w:rPr>
            </w:pPr>
          </w:p>
        </w:tc>
        <w:tc>
          <w:tcPr>
            <w:tcW w:w="4251" w:type="dxa"/>
            <w:tcBorders>
              <w:top w:val="single" w:sz="8" w:space="0" w:color="auto"/>
              <w:left w:val="single" w:sz="8" w:space="0" w:color="auto"/>
              <w:bottom w:val="single" w:sz="8" w:space="0" w:color="auto"/>
              <w:right w:val="single" w:sz="8" w:space="0" w:color="auto"/>
            </w:tcBorders>
          </w:tcPr>
          <w:p w:rsidR="002F51A2" w:rsidRPr="003433B2" w:rsidRDefault="002F51A2">
            <w:pPr>
              <w:adjustRightInd w:val="0"/>
              <w:snapToGrid w:val="0"/>
              <w:jc w:val="center"/>
              <w:rPr>
                <w:rFonts w:ascii="宋体" w:hAnsi="宋体"/>
                <w:szCs w:val="21"/>
              </w:rPr>
            </w:pPr>
          </w:p>
        </w:tc>
      </w:tr>
    </w:tbl>
    <w:tbl>
      <w:tblPr>
        <w:tblpPr w:leftFromText="180" w:rightFromText="180" w:vertAnchor="text" w:horzAnchor="page" w:tblpX="1440" w:tblpY="310"/>
        <w:tblOverlap w:val="neve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410"/>
        <w:gridCol w:w="5096"/>
      </w:tblGrid>
      <w:tr w:rsidR="002F51A2" w:rsidRPr="00E41881">
        <w:trPr>
          <w:trHeight w:val="452"/>
        </w:trPr>
        <w:tc>
          <w:tcPr>
            <w:tcW w:w="691"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时间</w:t>
            </w:r>
          </w:p>
        </w:tc>
        <w:tc>
          <w:tcPr>
            <w:tcW w:w="3410" w:type="dxa"/>
            <w:tcBorders>
              <w:top w:val="single" w:sz="8" w:space="0" w:color="auto"/>
              <w:left w:val="single" w:sz="8" w:space="0" w:color="auto"/>
              <w:bottom w:val="single" w:sz="8" w:space="0" w:color="auto"/>
              <w:right w:val="single" w:sz="8" w:space="0" w:color="auto"/>
            </w:tcBorders>
          </w:tcPr>
          <w:p w:rsidR="00CC61E3" w:rsidRPr="001C5817" w:rsidRDefault="0012599C">
            <w:pPr>
              <w:jc w:val="center"/>
              <w:rPr>
                <w:rFonts w:ascii="宋体" w:hAnsi="宋体"/>
                <w:bCs/>
                <w:szCs w:val="21"/>
              </w:rPr>
            </w:pPr>
            <w:r w:rsidRPr="001C5817">
              <w:rPr>
                <w:rFonts w:ascii="宋体" w:hAnsi="宋体" w:hint="eastAsia"/>
                <w:bCs/>
                <w:szCs w:val="21"/>
              </w:rPr>
              <w:t>出院前</w:t>
            </w:r>
          </w:p>
          <w:p w:rsidR="002F51A2" w:rsidRPr="001C5817" w:rsidRDefault="00CC61E3" w:rsidP="00CC61E3">
            <w:pPr>
              <w:jc w:val="center"/>
              <w:rPr>
                <w:rFonts w:ascii="宋体" w:hAnsi="宋体"/>
                <w:szCs w:val="21"/>
              </w:rPr>
            </w:pPr>
            <w:r w:rsidRPr="001C5817">
              <w:rPr>
                <w:rFonts w:ascii="黑体" w:eastAsia="黑体" w:hint="eastAsia"/>
                <w:sz w:val="15"/>
                <w:szCs w:val="21"/>
              </w:rPr>
              <w:t>（1～3天）</w:t>
            </w:r>
          </w:p>
        </w:tc>
        <w:tc>
          <w:tcPr>
            <w:tcW w:w="5096" w:type="dxa"/>
            <w:tcBorders>
              <w:top w:val="single" w:sz="8" w:space="0" w:color="auto"/>
              <w:left w:val="single" w:sz="8" w:space="0" w:color="auto"/>
              <w:bottom w:val="single" w:sz="8" w:space="0" w:color="auto"/>
              <w:right w:val="single" w:sz="8" w:space="0" w:color="auto"/>
            </w:tcBorders>
          </w:tcPr>
          <w:p w:rsidR="002F51A2" w:rsidRPr="001C5817" w:rsidRDefault="0012599C">
            <w:pPr>
              <w:adjustRightInd w:val="0"/>
              <w:snapToGrid w:val="0"/>
              <w:jc w:val="center"/>
              <w:rPr>
                <w:rFonts w:ascii="黑体" w:eastAsia="黑体"/>
                <w:szCs w:val="21"/>
              </w:rPr>
            </w:pPr>
            <w:r w:rsidRPr="001C5817">
              <w:rPr>
                <w:rFonts w:ascii="黑体" w:eastAsia="黑体" w:hAnsi="宋体" w:hint="eastAsia"/>
                <w:szCs w:val="21"/>
              </w:rPr>
              <w:t>出院日</w:t>
            </w:r>
          </w:p>
          <w:p w:rsidR="002F51A2" w:rsidRPr="001C5817" w:rsidRDefault="0012599C">
            <w:pPr>
              <w:rPr>
                <w:rFonts w:ascii="宋体" w:hAnsi="宋体"/>
                <w:szCs w:val="21"/>
              </w:rPr>
            </w:pPr>
            <w:r w:rsidRPr="001C5817">
              <w:rPr>
                <w:rFonts w:ascii="黑体" w:eastAsia="黑体" w:hint="eastAsia"/>
                <w:sz w:val="15"/>
                <w:szCs w:val="21"/>
              </w:rPr>
              <w:t>（</w:t>
            </w:r>
            <w:r w:rsidRPr="001C5817">
              <w:rPr>
                <w:rFonts w:ascii="宋体" w:hAnsi="宋体" w:hint="eastAsia"/>
                <w:sz w:val="15"/>
                <w:szCs w:val="21"/>
              </w:rPr>
              <w:t>轻度中毒</w:t>
            </w:r>
            <w:r w:rsidRPr="001C5817">
              <w:rPr>
                <w:rFonts w:ascii="宋体" w:hAnsi="宋体"/>
                <w:sz w:val="15"/>
                <w:szCs w:val="21"/>
              </w:rPr>
              <w:t xml:space="preserve">90～180天 </w:t>
            </w:r>
            <w:r w:rsidRPr="001C5817">
              <w:rPr>
                <w:rFonts w:ascii="宋体" w:hAnsi="宋体" w:hint="eastAsia"/>
                <w:sz w:val="15"/>
                <w:szCs w:val="21"/>
              </w:rPr>
              <w:t>，中度中毒</w:t>
            </w:r>
            <w:r w:rsidRPr="001C5817">
              <w:rPr>
                <w:rFonts w:ascii="宋体" w:hAnsi="宋体"/>
                <w:sz w:val="15"/>
                <w:szCs w:val="21"/>
              </w:rPr>
              <w:t>180～360天，重度中毒360～540天</w:t>
            </w:r>
            <w:r w:rsidRPr="001C5817">
              <w:rPr>
                <w:rFonts w:ascii="黑体" w:eastAsia="黑体" w:hAnsi="宋体" w:hint="eastAsia"/>
                <w:sz w:val="15"/>
                <w:szCs w:val="21"/>
              </w:rPr>
              <w:t>）</w:t>
            </w:r>
          </w:p>
        </w:tc>
      </w:tr>
      <w:tr w:rsidR="002F51A2" w:rsidRPr="00E41881" w:rsidTr="00A03225">
        <w:trPr>
          <w:trHeight w:val="2174"/>
        </w:trPr>
        <w:tc>
          <w:tcPr>
            <w:tcW w:w="691"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主</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要</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诊</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疗</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工</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作</w:t>
            </w:r>
          </w:p>
        </w:tc>
        <w:tc>
          <w:tcPr>
            <w:tcW w:w="3410" w:type="dxa"/>
            <w:tcBorders>
              <w:top w:val="single" w:sz="8" w:space="0" w:color="auto"/>
              <w:left w:val="single" w:sz="8" w:space="0" w:color="auto"/>
              <w:bottom w:val="single" w:sz="8" w:space="0" w:color="auto"/>
              <w:right w:val="single" w:sz="8" w:space="0" w:color="auto"/>
            </w:tcBorders>
          </w:tcPr>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上级医师查房</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评估患者病情及治疗效果</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确定出院日期及出院后治疗方案</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出院前一天开具出院医嘱</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住院医师书写病程记录</w:t>
            </w:r>
          </w:p>
        </w:tc>
        <w:tc>
          <w:tcPr>
            <w:tcW w:w="5096" w:type="dxa"/>
            <w:tcBorders>
              <w:top w:val="single" w:sz="8" w:space="0" w:color="auto"/>
              <w:left w:val="single" w:sz="8" w:space="0" w:color="auto"/>
              <w:bottom w:val="single" w:sz="8" w:space="0" w:color="auto"/>
              <w:right w:val="single" w:sz="8" w:space="0" w:color="auto"/>
            </w:tcBorders>
          </w:tcPr>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完成常规病程记录、上级医师查房记录、病案首页及出院小结等</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向患者交代出院后的注意事项</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预约随诊日期</w:t>
            </w:r>
          </w:p>
        </w:tc>
      </w:tr>
      <w:tr w:rsidR="002F51A2" w:rsidRPr="00E41881">
        <w:trPr>
          <w:trHeight w:val="2333"/>
        </w:trPr>
        <w:tc>
          <w:tcPr>
            <w:tcW w:w="691"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重</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点</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医</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嘱</w:t>
            </w:r>
          </w:p>
        </w:tc>
        <w:tc>
          <w:tcPr>
            <w:tcW w:w="3410" w:type="dxa"/>
            <w:tcBorders>
              <w:top w:val="single" w:sz="8" w:space="0" w:color="auto"/>
              <w:left w:val="single" w:sz="8" w:space="0" w:color="auto"/>
              <w:bottom w:val="single" w:sz="8" w:space="0" w:color="auto"/>
              <w:right w:val="single" w:sz="8" w:space="0" w:color="auto"/>
            </w:tcBorders>
          </w:tcPr>
          <w:p w:rsidR="002F51A2" w:rsidRPr="00E41881" w:rsidRDefault="0012599C">
            <w:pPr>
              <w:adjustRightInd w:val="0"/>
              <w:snapToGrid w:val="0"/>
              <w:rPr>
                <w:rFonts w:ascii="宋体" w:hAnsi="宋体"/>
                <w:b/>
                <w:szCs w:val="21"/>
              </w:rPr>
            </w:pPr>
            <w:r w:rsidRPr="00E41881">
              <w:rPr>
                <w:rFonts w:ascii="宋体" w:hAnsi="宋体" w:hint="eastAsia"/>
                <w:b/>
                <w:szCs w:val="21"/>
              </w:rPr>
              <w:t>长期医嘱：</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职业病科护理常规</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二～三级护理（根据病情）</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饮食</w:t>
            </w:r>
          </w:p>
          <w:p w:rsidR="002F51A2" w:rsidRPr="00E41881" w:rsidRDefault="0012599C">
            <w:pPr>
              <w:numPr>
                <w:ilvl w:val="0"/>
                <w:numId w:val="2"/>
              </w:numPr>
              <w:ind w:left="360" w:hanging="360"/>
              <w:rPr>
                <w:rFonts w:ascii="宋体" w:hAnsi="宋体" w:cs="宋体"/>
                <w:color w:val="000000"/>
                <w:szCs w:val="21"/>
              </w:rPr>
            </w:pPr>
            <w:r w:rsidRPr="00E41881">
              <w:rPr>
                <w:rFonts w:ascii="宋体" w:hAnsi="宋体" w:hint="eastAsia"/>
                <w:szCs w:val="21"/>
              </w:rPr>
              <w:t>既往基础用药</w:t>
            </w:r>
          </w:p>
          <w:p w:rsidR="002F51A2" w:rsidRPr="00E41881" w:rsidRDefault="0012599C">
            <w:pPr>
              <w:numPr>
                <w:ilvl w:val="0"/>
                <w:numId w:val="2"/>
              </w:numPr>
              <w:ind w:left="360" w:hanging="360"/>
              <w:rPr>
                <w:rFonts w:ascii="宋体" w:hAnsi="宋体" w:cs="宋体"/>
                <w:color w:val="000000"/>
                <w:szCs w:val="21"/>
              </w:rPr>
            </w:pPr>
            <w:r w:rsidRPr="00E41881">
              <w:rPr>
                <w:rFonts w:ascii="宋体" w:hAnsi="宋体" w:hint="eastAsia"/>
                <w:szCs w:val="21"/>
              </w:rPr>
              <w:t>其他医嘱</w:t>
            </w:r>
          </w:p>
          <w:p w:rsidR="002F51A2" w:rsidRPr="00E41881" w:rsidRDefault="0012599C">
            <w:pPr>
              <w:adjustRightInd w:val="0"/>
              <w:snapToGrid w:val="0"/>
              <w:rPr>
                <w:rFonts w:ascii="宋体" w:hAnsi="宋体"/>
                <w:b/>
                <w:szCs w:val="21"/>
              </w:rPr>
            </w:pPr>
            <w:r w:rsidRPr="00E41881">
              <w:rPr>
                <w:rFonts w:ascii="宋体" w:hAnsi="宋体" w:hint="eastAsia"/>
                <w:b/>
                <w:szCs w:val="21"/>
              </w:rPr>
              <w:t>临时医嘱：</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对症处理</w:t>
            </w:r>
          </w:p>
          <w:p w:rsidR="002F51A2" w:rsidRPr="00A03225" w:rsidRDefault="0012599C" w:rsidP="00A03225">
            <w:pPr>
              <w:numPr>
                <w:ilvl w:val="0"/>
                <w:numId w:val="2"/>
              </w:numPr>
              <w:ind w:left="360" w:hanging="360"/>
              <w:rPr>
                <w:rFonts w:ascii="宋体" w:hAnsi="宋体"/>
                <w:szCs w:val="21"/>
              </w:rPr>
            </w:pPr>
            <w:r w:rsidRPr="00E41881">
              <w:rPr>
                <w:rFonts w:ascii="宋体" w:hAnsi="宋体" w:hint="eastAsia"/>
                <w:szCs w:val="21"/>
              </w:rPr>
              <w:lastRenderedPageBreak/>
              <w:t>根据需要，复查相关检查项目</w:t>
            </w:r>
          </w:p>
        </w:tc>
        <w:tc>
          <w:tcPr>
            <w:tcW w:w="5096" w:type="dxa"/>
            <w:tcBorders>
              <w:top w:val="single" w:sz="8" w:space="0" w:color="auto"/>
              <w:left w:val="single" w:sz="8" w:space="0" w:color="auto"/>
              <w:bottom w:val="single" w:sz="8" w:space="0" w:color="auto"/>
              <w:right w:val="single" w:sz="8" w:space="0" w:color="auto"/>
            </w:tcBorders>
          </w:tcPr>
          <w:p w:rsidR="002F51A2" w:rsidRPr="00E41881" w:rsidRDefault="0012599C">
            <w:pPr>
              <w:rPr>
                <w:b/>
                <w:szCs w:val="21"/>
              </w:rPr>
            </w:pPr>
            <w:r w:rsidRPr="00E41881">
              <w:rPr>
                <w:rFonts w:ascii="宋体" w:hAnsi="宋体" w:cs="宋体" w:hint="eastAsia"/>
                <w:b/>
                <w:szCs w:val="21"/>
              </w:rPr>
              <w:lastRenderedPageBreak/>
              <w:t>出院医嘱：</w:t>
            </w:r>
          </w:p>
          <w:p w:rsidR="002F51A2" w:rsidRPr="00E41881" w:rsidRDefault="0012599C">
            <w:pPr>
              <w:numPr>
                <w:ilvl w:val="0"/>
                <w:numId w:val="1"/>
              </w:numPr>
              <w:spacing w:line="240" w:lineRule="atLeast"/>
              <w:rPr>
                <w:rFonts w:ascii="宋体" w:hAnsi="宋体"/>
                <w:szCs w:val="21"/>
              </w:rPr>
            </w:pPr>
            <w:r w:rsidRPr="00E41881">
              <w:rPr>
                <w:rFonts w:ascii="宋体" w:hAnsi="宋体" w:hint="eastAsia"/>
                <w:szCs w:val="21"/>
              </w:rPr>
              <w:t>出</w:t>
            </w:r>
            <w:r w:rsidRPr="00E41881">
              <w:rPr>
                <w:rFonts w:ascii="宋体" w:hAnsi="宋体" w:cs="宋体" w:hint="eastAsia"/>
                <w:szCs w:val="21"/>
              </w:rPr>
              <w:t>院带</w:t>
            </w:r>
            <w:r w:rsidRPr="00E41881">
              <w:rPr>
                <w:rFonts w:ascii="宋体" w:hAnsi="宋体" w:hint="eastAsia"/>
                <w:szCs w:val="21"/>
              </w:rPr>
              <w:t>药</w:t>
            </w:r>
          </w:p>
          <w:p w:rsidR="002F51A2" w:rsidRPr="00E41881" w:rsidRDefault="0012599C">
            <w:pPr>
              <w:numPr>
                <w:ilvl w:val="0"/>
                <w:numId w:val="1"/>
              </w:numPr>
              <w:spacing w:line="240" w:lineRule="atLeast"/>
              <w:rPr>
                <w:rFonts w:ascii="宋体" w:hAnsi="宋体"/>
                <w:szCs w:val="21"/>
              </w:rPr>
            </w:pPr>
            <w:r w:rsidRPr="00E41881">
              <w:rPr>
                <w:rFonts w:ascii="宋体" w:hAnsi="宋体" w:hint="eastAsia"/>
                <w:szCs w:val="21"/>
              </w:rPr>
              <w:t>门诊随诊</w:t>
            </w:r>
          </w:p>
          <w:p w:rsidR="002F51A2" w:rsidRPr="00E41881" w:rsidRDefault="002F51A2">
            <w:pPr>
              <w:keepNext/>
              <w:keepLines/>
              <w:tabs>
                <w:tab w:val="left" w:pos="360"/>
              </w:tabs>
              <w:adjustRightInd w:val="0"/>
              <w:snapToGrid w:val="0"/>
              <w:spacing w:before="260" w:after="260" w:line="416" w:lineRule="auto"/>
              <w:rPr>
                <w:rFonts w:ascii="宋体" w:hAnsi="宋体"/>
                <w:szCs w:val="21"/>
              </w:rPr>
            </w:pPr>
          </w:p>
        </w:tc>
      </w:tr>
      <w:tr w:rsidR="002F51A2" w:rsidRPr="00E41881">
        <w:trPr>
          <w:cantSplit/>
          <w:trHeight w:val="1142"/>
        </w:trPr>
        <w:tc>
          <w:tcPr>
            <w:tcW w:w="691"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lastRenderedPageBreak/>
              <w:t>护理</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工作</w:t>
            </w:r>
          </w:p>
        </w:tc>
        <w:tc>
          <w:tcPr>
            <w:tcW w:w="3410" w:type="dxa"/>
            <w:tcBorders>
              <w:top w:val="single" w:sz="8" w:space="0" w:color="auto"/>
              <w:left w:val="single" w:sz="8" w:space="0" w:color="auto"/>
              <w:bottom w:val="single" w:sz="8" w:space="0" w:color="auto"/>
              <w:right w:val="single" w:sz="8" w:space="0" w:color="auto"/>
            </w:tcBorders>
          </w:tcPr>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观察患者一般情况及病情变化</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检验、检查前的宣教</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出院准备指导</w:t>
            </w:r>
          </w:p>
          <w:p w:rsidR="002F51A2" w:rsidRPr="00E41881" w:rsidRDefault="002F51A2">
            <w:pPr>
              <w:keepNext/>
              <w:keepLines/>
              <w:adjustRightInd w:val="0"/>
              <w:snapToGrid w:val="0"/>
              <w:spacing w:before="260" w:after="260" w:line="416" w:lineRule="auto"/>
              <w:rPr>
                <w:rFonts w:ascii="宋体" w:hAnsi="宋体"/>
                <w:szCs w:val="21"/>
              </w:rPr>
            </w:pPr>
          </w:p>
        </w:tc>
        <w:tc>
          <w:tcPr>
            <w:tcW w:w="5096" w:type="dxa"/>
            <w:tcBorders>
              <w:top w:val="single" w:sz="8" w:space="0" w:color="auto"/>
              <w:left w:val="single" w:sz="8" w:space="0" w:color="auto"/>
              <w:bottom w:val="single" w:sz="8" w:space="0" w:color="auto"/>
              <w:right w:val="single" w:sz="8" w:space="0" w:color="auto"/>
            </w:tcBorders>
          </w:tcPr>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出院注意事项</w:t>
            </w:r>
          </w:p>
          <w:p w:rsidR="002F51A2" w:rsidRPr="00E41881" w:rsidRDefault="0012599C">
            <w:pPr>
              <w:numPr>
                <w:ilvl w:val="0"/>
                <w:numId w:val="2"/>
              </w:numPr>
              <w:ind w:left="360" w:hanging="360"/>
              <w:rPr>
                <w:rFonts w:ascii="宋体" w:hAnsi="宋体"/>
                <w:szCs w:val="21"/>
              </w:rPr>
            </w:pPr>
            <w:r w:rsidRPr="00E41881">
              <w:rPr>
                <w:rFonts w:ascii="宋体" w:hAnsi="宋体" w:hint="eastAsia"/>
                <w:szCs w:val="21"/>
              </w:rPr>
              <w:t>协助患者办理出院手续</w:t>
            </w:r>
          </w:p>
          <w:p w:rsidR="002F51A2" w:rsidRPr="00E41881" w:rsidRDefault="0012599C">
            <w:pPr>
              <w:numPr>
                <w:ilvl w:val="0"/>
                <w:numId w:val="2"/>
              </w:numPr>
              <w:ind w:left="360" w:hanging="360"/>
              <w:rPr>
                <w:color w:val="000000"/>
                <w:szCs w:val="21"/>
              </w:rPr>
            </w:pPr>
            <w:r w:rsidRPr="00E41881">
              <w:rPr>
                <w:rFonts w:ascii="宋体" w:hAnsi="宋体" w:hint="eastAsia"/>
                <w:szCs w:val="21"/>
              </w:rPr>
              <w:t>出院指导</w:t>
            </w:r>
          </w:p>
          <w:p w:rsidR="002F51A2" w:rsidRPr="00E41881" w:rsidRDefault="002F51A2">
            <w:pPr>
              <w:keepNext/>
              <w:keepLines/>
              <w:adjustRightInd w:val="0"/>
              <w:snapToGrid w:val="0"/>
              <w:spacing w:before="260" w:after="260" w:line="416" w:lineRule="auto"/>
              <w:rPr>
                <w:rFonts w:ascii="宋体" w:hAnsi="宋体"/>
                <w:szCs w:val="21"/>
                <w:u w:val="single"/>
              </w:rPr>
            </w:pPr>
          </w:p>
        </w:tc>
      </w:tr>
      <w:tr w:rsidR="002F51A2" w:rsidRPr="00E41881">
        <w:tc>
          <w:tcPr>
            <w:tcW w:w="691"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病情变异记录</w:t>
            </w:r>
          </w:p>
        </w:tc>
        <w:tc>
          <w:tcPr>
            <w:tcW w:w="3410" w:type="dxa"/>
            <w:tcBorders>
              <w:top w:val="single" w:sz="8" w:space="0" w:color="auto"/>
              <w:left w:val="single" w:sz="8" w:space="0" w:color="auto"/>
              <w:bottom w:val="single" w:sz="8" w:space="0" w:color="auto"/>
              <w:right w:val="single" w:sz="8" w:space="0" w:color="auto"/>
            </w:tcBorders>
          </w:tcPr>
          <w:p w:rsidR="002F51A2" w:rsidRPr="00E41881" w:rsidRDefault="0012599C">
            <w:pPr>
              <w:adjustRightInd w:val="0"/>
              <w:snapToGrid w:val="0"/>
              <w:rPr>
                <w:rFonts w:ascii="宋体" w:hAnsi="宋体"/>
                <w:szCs w:val="21"/>
              </w:rPr>
            </w:pPr>
            <w:r w:rsidRPr="00E41881">
              <w:rPr>
                <w:rFonts w:ascii="宋体" w:hAnsi="宋体" w:hint="eastAsia"/>
                <w:szCs w:val="21"/>
              </w:rPr>
              <w:t>□无□有，原因：</w:t>
            </w:r>
          </w:p>
          <w:p w:rsidR="002F51A2" w:rsidRPr="00E41881" w:rsidRDefault="0012599C">
            <w:pPr>
              <w:adjustRightInd w:val="0"/>
              <w:snapToGrid w:val="0"/>
              <w:rPr>
                <w:rFonts w:ascii="宋体" w:hAnsi="宋体"/>
                <w:szCs w:val="21"/>
              </w:rPr>
            </w:pPr>
            <w:r w:rsidRPr="00E41881">
              <w:rPr>
                <w:rFonts w:ascii="宋体" w:hAnsi="宋体"/>
                <w:szCs w:val="21"/>
              </w:rPr>
              <w:t>1.</w:t>
            </w:r>
          </w:p>
          <w:p w:rsidR="002F51A2" w:rsidRPr="00E41881" w:rsidRDefault="0012599C">
            <w:pPr>
              <w:adjustRightInd w:val="0"/>
              <w:snapToGrid w:val="0"/>
              <w:rPr>
                <w:rFonts w:ascii="宋体" w:hAnsi="宋体"/>
                <w:szCs w:val="21"/>
                <w:u w:val="single"/>
              </w:rPr>
            </w:pPr>
            <w:r w:rsidRPr="00E41881">
              <w:rPr>
                <w:rFonts w:ascii="宋体" w:hAnsi="宋体"/>
                <w:szCs w:val="21"/>
              </w:rPr>
              <w:t>2.</w:t>
            </w:r>
          </w:p>
        </w:tc>
        <w:tc>
          <w:tcPr>
            <w:tcW w:w="5096" w:type="dxa"/>
            <w:tcBorders>
              <w:top w:val="single" w:sz="8" w:space="0" w:color="auto"/>
              <w:left w:val="single" w:sz="8" w:space="0" w:color="auto"/>
              <w:bottom w:val="single" w:sz="8" w:space="0" w:color="auto"/>
              <w:right w:val="single" w:sz="8" w:space="0" w:color="auto"/>
            </w:tcBorders>
          </w:tcPr>
          <w:p w:rsidR="002F51A2" w:rsidRPr="00E41881" w:rsidRDefault="0012599C">
            <w:pPr>
              <w:adjustRightInd w:val="0"/>
              <w:snapToGrid w:val="0"/>
              <w:rPr>
                <w:rFonts w:ascii="宋体" w:hAnsi="宋体"/>
                <w:szCs w:val="21"/>
              </w:rPr>
            </w:pPr>
            <w:r w:rsidRPr="00E41881">
              <w:rPr>
                <w:rFonts w:ascii="宋体" w:hAnsi="宋体" w:hint="eastAsia"/>
                <w:szCs w:val="21"/>
              </w:rPr>
              <w:t>□无□有，原因：</w:t>
            </w:r>
          </w:p>
          <w:p w:rsidR="002F51A2" w:rsidRPr="00E41881" w:rsidRDefault="0012599C">
            <w:pPr>
              <w:adjustRightInd w:val="0"/>
              <w:snapToGrid w:val="0"/>
              <w:rPr>
                <w:rFonts w:ascii="宋体" w:hAnsi="宋体"/>
                <w:szCs w:val="21"/>
              </w:rPr>
            </w:pPr>
            <w:r w:rsidRPr="00E41881">
              <w:rPr>
                <w:rFonts w:ascii="宋体" w:hAnsi="宋体"/>
                <w:szCs w:val="21"/>
              </w:rPr>
              <w:t>1.</w:t>
            </w:r>
          </w:p>
          <w:p w:rsidR="002F51A2" w:rsidRPr="00E41881" w:rsidRDefault="0012599C">
            <w:pPr>
              <w:adjustRightInd w:val="0"/>
              <w:snapToGrid w:val="0"/>
              <w:rPr>
                <w:rFonts w:ascii="宋体" w:hAnsi="宋体"/>
                <w:szCs w:val="21"/>
                <w:u w:val="single"/>
              </w:rPr>
            </w:pPr>
            <w:r w:rsidRPr="00E41881">
              <w:rPr>
                <w:rFonts w:ascii="宋体" w:hAnsi="宋体"/>
                <w:szCs w:val="21"/>
              </w:rPr>
              <w:t>2.</w:t>
            </w:r>
          </w:p>
        </w:tc>
      </w:tr>
      <w:tr w:rsidR="002F51A2" w:rsidRPr="00E41881">
        <w:trPr>
          <w:trHeight w:val="468"/>
        </w:trPr>
        <w:tc>
          <w:tcPr>
            <w:tcW w:w="691"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护士</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签名</w:t>
            </w:r>
          </w:p>
        </w:tc>
        <w:tc>
          <w:tcPr>
            <w:tcW w:w="3410" w:type="dxa"/>
            <w:tcBorders>
              <w:top w:val="single" w:sz="8" w:space="0" w:color="auto"/>
              <w:left w:val="single" w:sz="8" w:space="0" w:color="auto"/>
              <w:bottom w:val="single" w:sz="8" w:space="0" w:color="auto"/>
              <w:right w:val="single" w:sz="8" w:space="0" w:color="auto"/>
            </w:tcBorders>
          </w:tcPr>
          <w:p w:rsidR="002F51A2" w:rsidRPr="00E41881" w:rsidRDefault="002F51A2">
            <w:pPr>
              <w:keepNext/>
              <w:keepLines/>
              <w:adjustRightInd w:val="0"/>
              <w:snapToGrid w:val="0"/>
              <w:spacing w:before="340" w:after="330" w:line="578" w:lineRule="auto"/>
              <w:rPr>
                <w:rFonts w:ascii="宋体" w:hAnsi="宋体"/>
                <w:szCs w:val="21"/>
              </w:rPr>
            </w:pPr>
          </w:p>
        </w:tc>
        <w:tc>
          <w:tcPr>
            <w:tcW w:w="5096" w:type="dxa"/>
            <w:tcBorders>
              <w:top w:val="single" w:sz="8" w:space="0" w:color="auto"/>
              <w:left w:val="single" w:sz="8" w:space="0" w:color="auto"/>
              <w:bottom w:val="single" w:sz="8" w:space="0" w:color="auto"/>
              <w:right w:val="single" w:sz="8" w:space="0" w:color="auto"/>
            </w:tcBorders>
          </w:tcPr>
          <w:p w:rsidR="002F51A2" w:rsidRPr="00E41881" w:rsidRDefault="002F51A2">
            <w:pPr>
              <w:keepNext/>
              <w:keepLines/>
              <w:adjustRightInd w:val="0"/>
              <w:snapToGrid w:val="0"/>
              <w:spacing w:before="340" w:after="330" w:line="578" w:lineRule="auto"/>
              <w:rPr>
                <w:rFonts w:ascii="宋体" w:hAnsi="宋体"/>
                <w:szCs w:val="21"/>
              </w:rPr>
            </w:pPr>
          </w:p>
        </w:tc>
      </w:tr>
      <w:tr w:rsidR="002F51A2" w:rsidRPr="00E41881">
        <w:trPr>
          <w:trHeight w:val="492"/>
        </w:trPr>
        <w:tc>
          <w:tcPr>
            <w:tcW w:w="691" w:type="dxa"/>
            <w:tcBorders>
              <w:top w:val="single" w:sz="8" w:space="0" w:color="auto"/>
              <w:left w:val="single" w:sz="8" w:space="0" w:color="auto"/>
              <w:bottom w:val="single" w:sz="8" w:space="0" w:color="auto"/>
              <w:right w:val="single" w:sz="8" w:space="0" w:color="auto"/>
            </w:tcBorders>
            <w:vAlign w:val="center"/>
          </w:tcPr>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医师</w:t>
            </w:r>
          </w:p>
          <w:p w:rsidR="002F51A2" w:rsidRPr="001C5817" w:rsidRDefault="0012599C">
            <w:pPr>
              <w:adjustRightInd w:val="0"/>
              <w:snapToGrid w:val="0"/>
              <w:jc w:val="center"/>
              <w:rPr>
                <w:rFonts w:ascii="黑体" w:eastAsia="黑体" w:hAnsi="宋体"/>
                <w:szCs w:val="21"/>
              </w:rPr>
            </w:pPr>
            <w:r w:rsidRPr="001C5817">
              <w:rPr>
                <w:rFonts w:ascii="黑体" w:eastAsia="黑体" w:hAnsi="宋体" w:hint="eastAsia"/>
                <w:szCs w:val="21"/>
              </w:rPr>
              <w:t>签名</w:t>
            </w:r>
          </w:p>
        </w:tc>
        <w:tc>
          <w:tcPr>
            <w:tcW w:w="3410" w:type="dxa"/>
            <w:tcBorders>
              <w:top w:val="single" w:sz="8" w:space="0" w:color="auto"/>
              <w:left w:val="single" w:sz="8" w:space="0" w:color="auto"/>
              <w:bottom w:val="single" w:sz="8" w:space="0" w:color="auto"/>
              <w:right w:val="single" w:sz="8" w:space="0" w:color="auto"/>
            </w:tcBorders>
          </w:tcPr>
          <w:p w:rsidR="002F51A2" w:rsidRPr="00E41881" w:rsidRDefault="002F51A2">
            <w:pPr>
              <w:keepNext/>
              <w:keepLines/>
              <w:adjustRightInd w:val="0"/>
              <w:snapToGrid w:val="0"/>
              <w:spacing w:before="340" w:after="330" w:line="578" w:lineRule="auto"/>
              <w:rPr>
                <w:rFonts w:ascii="宋体" w:hAnsi="宋体"/>
                <w:szCs w:val="21"/>
              </w:rPr>
            </w:pPr>
          </w:p>
        </w:tc>
        <w:tc>
          <w:tcPr>
            <w:tcW w:w="5096" w:type="dxa"/>
            <w:tcBorders>
              <w:top w:val="single" w:sz="8" w:space="0" w:color="auto"/>
              <w:left w:val="single" w:sz="8" w:space="0" w:color="auto"/>
              <w:bottom w:val="single" w:sz="8" w:space="0" w:color="auto"/>
              <w:right w:val="single" w:sz="8" w:space="0" w:color="auto"/>
            </w:tcBorders>
          </w:tcPr>
          <w:p w:rsidR="002F51A2" w:rsidRPr="00E41881" w:rsidRDefault="002F51A2">
            <w:pPr>
              <w:keepNext/>
              <w:keepLines/>
              <w:adjustRightInd w:val="0"/>
              <w:snapToGrid w:val="0"/>
              <w:spacing w:before="340" w:after="330" w:line="578" w:lineRule="auto"/>
              <w:rPr>
                <w:rFonts w:ascii="宋体" w:hAnsi="宋体"/>
                <w:szCs w:val="21"/>
              </w:rPr>
            </w:pPr>
          </w:p>
        </w:tc>
      </w:tr>
    </w:tbl>
    <w:p w:rsidR="002F51A2" w:rsidRDefault="002F51A2" w:rsidP="00CC61E3">
      <w:pPr>
        <w:pStyle w:val="a3"/>
        <w:adjustRightInd/>
        <w:snapToGrid/>
        <w:spacing w:line="274" w:lineRule="auto"/>
        <w:ind w:firstLineChars="0" w:firstLine="0"/>
      </w:pPr>
    </w:p>
    <w:sectPr w:rsidR="002F51A2" w:rsidSect="002F51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12" w:rsidRDefault="00041612" w:rsidP="00DA3D86">
      <w:r>
        <w:separator/>
      </w:r>
    </w:p>
  </w:endnote>
  <w:endnote w:type="continuationSeparator" w:id="0">
    <w:p w:rsidR="00041612" w:rsidRDefault="00041612" w:rsidP="00DA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12" w:rsidRDefault="00041612" w:rsidP="00DA3D86">
      <w:r>
        <w:separator/>
      </w:r>
    </w:p>
  </w:footnote>
  <w:footnote w:type="continuationSeparator" w:id="0">
    <w:p w:rsidR="00041612" w:rsidRDefault="00041612" w:rsidP="00DA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numFmt w:val="bullet"/>
      <w:lvlText w:val="□"/>
      <w:lvlJc w:val="left"/>
      <w:pPr>
        <w:tabs>
          <w:tab w:val="left" w:pos="357"/>
        </w:tabs>
        <w:ind w:left="357" w:hanging="357"/>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F5E0FE5"/>
    <w:multiLevelType w:val="multilevel"/>
    <w:tmpl w:val="1F5E0FE5"/>
    <w:lvl w:ilvl="0">
      <w:numFmt w:val="bullet"/>
      <w:lvlText w:val="□"/>
      <w:lvlJc w:val="left"/>
      <w:pPr>
        <w:tabs>
          <w:tab w:val="left" w:pos="357"/>
        </w:tabs>
        <w:ind w:left="357" w:hanging="357"/>
      </w:pPr>
      <w:rPr>
        <w:rFonts w:ascii="华文细黑" w:eastAsia="华文细黑" w:hAnsi="华文细黑"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4D2D04"/>
    <w:rsid w:val="00041612"/>
    <w:rsid w:val="0006037C"/>
    <w:rsid w:val="0007214B"/>
    <w:rsid w:val="0008062D"/>
    <w:rsid w:val="00084223"/>
    <w:rsid w:val="0009775B"/>
    <w:rsid w:val="000A4A6D"/>
    <w:rsid w:val="000A560A"/>
    <w:rsid w:val="000B3437"/>
    <w:rsid w:val="000C1FDC"/>
    <w:rsid w:val="000E2028"/>
    <w:rsid w:val="000E32DF"/>
    <w:rsid w:val="00105364"/>
    <w:rsid w:val="00106D86"/>
    <w:rsid w:val="0012599C"/>
    <w:rsid w:val="00132FA2"/>
    <w:rsid w:val="00140882"/>
    <w:rsid w:val="00160782"/>
    <w:rsid w:val="001737CA"/>
    <w:rsid w:val="001A2623"/>
    <w:rsid w:val="001A4540"/>
    <w:rsid w:val="001A48AD"/>
    <w:rsid w:val="001B56E9"/>
    <w:rsid w:val="001C5711"/>
    <w:rsid w:val="001C5817"/>
    <w:rsid w:val="001F2EED"/>
    <w:rsid w:val="00213AD3"/>
    <w:rsid w:val="0022177A"/>
    <w:rsid w:val="00264031"/>
    <w:rsid w:val="00272778"/>
    <w:rsid w:val="0027431F"/>
    <w:rsid w:val="00283E83"/>
    <w:rsid w:val="00284111"/>
    <w:rsid w:val="002C0BC4"/>
    <w:rsid w:val="002C67BF"/>
    <w:rsid w:val="002E22A9"/>
    <w:rsid w:val="002F51A2"/>
    <w:rsid w:val="002F5652"/>
    <w:rsid w:val="003017E5"/>
    <w:rsid w:val="0031006C"/>
    <w:rsid w:val="00310804"/>
    <w:rsid w:val="00324464"/>
    <w:rsid w:val="00324B10"/>
    <w:rsid w:val="0033064C"/>
    <w:rsid w:val="003433B2"/>
    <w:rsid w:val="00346E4E"/>
    <w:rsid w:val="00350340"/>
    <w:rsid w:val="003935C4"/>
    <w:rsid w:val="00394024"/>
    <w:rsid w:val="00394B76"/>
    <w:rsid w:val="00395B2C"/>
    <w:rsid w:val="003B4085"/>
    <w:rsid w:val="003C1943"/>
    <w:rsid w:val="003C6544"/>
    <w:rsid w:val="00413A88"/>
    <w:rsid w:val="004405C9"/>
    <w:rsid w:val="00482F58"/>
    <w:rsid w:val="004A60BC"/>
    <w:rsid w:val="004D122F"/>
    <w:rsid w:val="004D2D04"/>
    <w:rsid w:val="00501FE6"/>
    <w:rsid w:val="00524C13"/>
    <w:rsid w:val="0054753B"/>
    <w:rsid w:val="00550C44"/>
    <w:rsid w:val="00551EEC"/>
    <w:rsid w:val="00557554"/>
    <w:rsid w:val="00563BAA"/>
    <w:rsid w:val="00566C64"/>
    <w:rsid w:val="00570934"/>
    <w:rsid w:val="005A03AF"/>
    <w:rsid w:val="005A1902"/>
    <w:rsid w:val="005B024F"/>
    <w:rsid w:val="005B2040"/>
    <w:rsid w:val="005C319F"/>
    <w:rsid w:val="005D4AB6"/>
    <w:rsid w:val="005E281D"/>
    <w:rsid w:val="005E34EA"/>
    <w:rsid w:val="00600A7D"/>
    <w:rsid w:val="006033D1"/>
    <w:rsid w:val="00621B86"/>
    <w:rsid w:val="00625597"/>
    <w:rsid w:val="00642AB1"/>
    <w:rsid w:val="00642BF1"/>
    <w:rsid w:val="00664DC8"/>
    <w:rsid w:val="00680878"/>
    <w:rsid w:val="006925CE"/>
    <w:rsid w:val="006B0436"/>
    <w:rsid w:val="006B10A2"/>
    <w:rsid w:val="006C111A"/>
    <w:rsid w:val="00701C87"/>
    <w:rsid w:val="0074426E"/>
    <w:rsid w:val="00745918"/>
    <w:rsid w:val="00745DD3"/>
    <w:rsid w:val="0075356B"/>
    <w:rsid w:val="00773D33"/>
    <w:rsid w:val="007839C2"/>
    <w:rsid w:val="007B69F6"/>
    <w:rsid w:val="007C046F"/>
    <w:rsid w:val="007C493F"/>
    <w:rsid w:val="007F6A94"/>
    <w:rsid w:val="0083592D"/>
    <w:rsid w:val="00840460"/>
    <w:rsid w:val="008420EA"/>
    <w:rsid w:val="00854D18"/>
    <w:rsid w:val="0085768F"/>
    <w:rsid w:val="008B3CB7"/>
    <w:rsid w:val="008C7AF3"/>
    <w:rsid w:val="008E0A05"/>
    <w:rsid w:val="008F78A3"/>
    <w:rsid w:val="00903707"/>
    <w:rsid w:val="00925448"/>
    <w:rsid w:val="00926604"/>
    <w:rsid w:val="00935F92"/>
    <w:rsid w:val="00942C21"/>
    <w:rsid w:val="00955BBB"/>
    <w:rsid w:val="0099721A"/>
    <w:rsid w:val="009A0801"/>
    <w:rsid w:val="009E783E"/>
    <w:rsid w:val="009F0C94"/>
    <w:rsid w:val="00A03225"/>
    <w:rsid w:val="00A11CEA"/>
    <w:rsid w:val="00A121B3"/>
    <w:rsid w:val="00A129DE"/>
    <w:rsid w:val="00A15F2D"/>
    <w:rsid w:val="00A33492"/>
    <w:rsid w:val="00A52E75"/>
    <w:rsid w:val="00A6100E"/>
    <w:rsid w:val="00A84A05"/>
    <w:rsid w:val="00A859A4"/>
    <w:rsid w:val="00AB1990"/>
    <w:rsid w:val="00AD5DB7"/>
    <w:rsid w:val="00AE4059"/>
    <w:rsid w:val="00B0253A"/>
    <w:rsid w:val="00B0265F"/>
    <w:rsid w:val="00B069C1"/>
    <w:rsid w:val="00B22D6E"/>
    <w:rsid w:val="00B23151"/>
    <w:rsid w:val="00B45EEF"/>
    <w:rsid w:val="00B85E78"/>
    <w:rsid w:val="00BA1CEF"/>
    <w:rsid w:val="00BA1E5C"/>
    <w:rsid w:val="00BD180A"/>
    <w:rsid w:val="00BF1157"/>
    <w:rsid w:val="00BF1D73"/>
    <w:rsid w:val="00BF4680"/>
    <w:rsid w:val="00C04473"/>
    <w:rsid w:val="00C239F4"/>
    <w:rsid w:val="00C31EC4"/>
    <w:rsid w:val="00C335BB"/>
    <w:rsid w:val="00C33674"/>
    <w:rsid w:val="00C41E2F"/>
    <w:rsid w:val="00C70FED"/>
    <w:rsid w:val="00CC61E3"/>
    <w:rsid w:val="00CD7264"/>
    <w:rsid w:val="00CE1B83"/>
    <w:rsid w:val="00CE1F24"/>
    <w:rsid w:val="00CE23EE"/>
    <w:rsid w:val="00CF28F8"/>
    <w:rsid w:val="00CF43DB"/>
    <w:rsid w:val="00D22423"/>
    <w:rsid w:val="00D37203"/>
    <w:rsid w:val="00D4515E"/>
    <w:rsid w:val="00D45498"/>
    <w:rsid w:val="00D468DF"/>
    <w:rsid w:val="00D7644D"/>
    <w:rsid w:val="00D846F3"/>
    <w:rsid w:val="00DA3D86"/>
    <w:rsid w:val="00DB1997"/>
    <w:rsid w:val="00DB5BE0"/>
    <w:rsid w:val="00DC7731"/>
    <w:rsid w:val="00DE4FE6"/>
    <w:rsid w:val="00E00259"/>
    <w:rsid w:val="00E03790"/>
    <w:rsid w:val="00E402A0"/>
    <w:rsid w:val="00E41881"/>
    <w:rsid w:val="00E43C82"/>
    <w:rsid w:val="00E45A49"/>
    <w:rsid w:val="00E52817"/>
    <w:rsid w:val="00E615E1"/>
    <w:rsid w:val="00E63CA2"/>
    <w:rsid w:val="00E91F09"/>
    <w:rsid w:val="00EC2019"/>
    <w:rsid w:val="00EC2267"/>
    <w:rsid w:val="00ED00B0"/>
    <w:rsid w:val="00ED35AC"/>
    <w:rsid w:val="00ED5A0B"/>
    <w:rsid w:val="00EE052E"/>
    <w:rsid w:val="00EE2CC6"/>
    <w:rsid w:val="00EF2884"/>
    <w:rsid w:val="00F00703"/>
    <w:rsid w:val="00F577CA"/>
    <w:rsid w:val="00F94E69"/>
    <w:rsid w:val="00FA0745"/>
    <w:rsid w:val="00FB737F"/>
    <w:rsid w:val="00FB7C2B"/>
    <w:rsid w:val="00FE4FD4"/>
    <w:rsid w:val="00FF101B"/>
    <w:rsid w:val="00FF1710"/>
    <w:rsid w:val="00FF4D8A"/>
    <w:rsid w:val="015F0C80"/>
    <w:rsid w:val="01AC3DB1"/>
    <w:rsid w:val="01D67292"/>
    <w:rsid w:val="01ED0133"/>
    <w:rsid w:val="02743A2C"/>
    <w:rsid w:val="029E6853"/>
    <w:rsid w:val="03422AFB"/>
    <w:rsid w:val="04FF7DE8"/>
    <w:rsid w:val="061077AA"/>
    <w:rsid w:val="063A73A7"/>
    <w:rsid w:val="064D1389"/>
    <w:rsid w:val="06944CF1"/>
    <w:rsid w:val="07364350"/>
    <w:rsid w:val="095C749B"/>
    <w:rsid w:val="09A2168E"/>
    <w:rsid w:val="0AF2229B"/>
    <w:rsid w:val="0B1F211B"/>
    <w:rsid w:val="0B20220F"/>
    <w:rsid w:val="0B27638D"/>
    <w:rsid w:val="0B525F5F"/>
    <w:rsid w:val="0DBA2065"/>
    <w:rsid w:val="0FB27768"/>
    <w:rsid w:val="103D65E6"/>
    <w:rsid w:val="10887105"/>
    <w:rsid w:val="10BE559B"/>
    <w:rsid w:val="111F7CF6"/>
    <w:rsid w:val="116A055B"/>
    <w:rsid w:val="11857BA7"/>
    <w:rsid w:val="12404D1B"/>
    <w:rsid w:val="12E56AA8"/>
    <w:rsid w:val="14807975"/>
    <w:rsid w:val="14E47694"/>
    <w:rsid w:val="14E64FAF"/>
    <w:rsid w:val="169C16AB"/>
    <w:rsid w:val="17517916"/>
    <w:rsid w:val="1765204D"/>
    <w:rsid w:val="18257CA2"/>
    <w:rsid w:val="182B6A1E"/>
    <w:rsid w:val="18485DD4"/>
    <w:rsid w:val="198D1AC9"/>
    <w:rsid w:val="1A852B6B"/>
    <w:rsid w:val="1AB0408E"/>
    <w:rsid w:val="1AC61C43"/>
    <w:rsid w:val="1BDC14D6"/>
    <w:rsid w:val="1C003C4F"/>
    <w:rsid w:val="1C0C64C1"/>
    <w:rsid w:val="1C4531A9"/>
    <w:rsid w:val="1C4F47EC"/>
    <w:rsid w:val="1C981655"/>
    <w:rsid w:val="1CEF58DB"/>
    <w:rsid w:val="1D2F4203"/>
    <w:rsid w:val="1E9173CC"/>
    <w:rsid w:val="1EEC193D"/>
    <w:rsid w:val="1FB40207"/>
    <w:rsid w:val="20495848"/>
    <w:rsid w:val="218274E1"/>
    <w:rsid w:val="222E042B"/>
    <w:rsid w:val="22411E36"/>
    <w:rsid w:val="228E0F06"/>
    <w:rsid w:val="231E6D73"/>
    <w:rsid w:val="239154E7"/>
    <w:rsid w:val="23BF786A"/>
    <w:rsid w:val="251A5441"/>
    <w:rsid w:val="251D7A4C"/>
    <w:rsid w:val="260F6407"/>
    <w:rsid w:val="266B38DB"/>
    <w:rsid w:val="267D00E2"/>
    <w:rsid w:val="27706CCA"/>
    <w:rsid w:val="27FD2968"/>
    <w:rsid w:val="28785853"/>
    <w:rsid w:val="28B30B3E"/>
    <w:rsid w:val="293F4A7B"/>
    <w:rsid w:val="295A5066"/>
    <w:rsid w:val="29935F7B"/>
    <w:rsid w:val="2C1324A7"/>
    <w:rsid w:val="2C5C70E7"/>
    <w:rsid w:val="2ED379E6"/>
    <w:rsid w:val="2F1746FC"/>
    <w:rsid w:val="2FBC3E7F"/>
    <w:rsid w:val="31570A69"/>
    <w:rsid w:val="316F6498"/>
    <w:rsid w:val="328E713D"/>
    <w:rsid w:val="34490CE5"/>
    <w:rsid w:val="34BA1AE4"/>
    <w:rsid w:val="35203529"/>
    <w:rsid w:val="35A2784B"/>
    <w:rsid w:val="36D63DFF"/>
    <w:rsid w:val="37807B3F"/>
    <w:rsid w:val="37F205DF"/>
    <w:rsid w:val="38774A31"/>
    <w:rsid w:val="38D46A60"/>
    <w:rsid w:val="3904141A"/>
    <w:rsid w:val="3A155EF0"/>
    <w:rsid w:val="3A35391C"/>
    <w:rsid w:val="3B214F62"/>
    <w:rsid w:val="3C3545C7"/>
    <w:rsid w:val="3C6E118D"/>
    <w:rsid w:val="3D6E3B3D"/>
    <w:rsid w:val="3DE644CB"/>
    <w:rsid w:val="3EAA4C16"/>
    <w:rsid w:val="3F000EA8"/>
    <w:rsid w:val="3F682B9A"/>
    <w:rsid w:val="40150641"/>
    <w:rsid w:val="402A38B9"/>
    <w:rsid w:val="415F75CF"/>
    <w:rsid w:val="41BA72E8"/>
    <w:rsid w:val="433218ED"/>
    <w:rsid w:val="437E5FDB"/>
    <w:rsid w:val="43F95CD0"/>
    <w:rsid w:val="442130F6"/>
    <w:rsid w:val="44901E54"/>
    <w:rsid w:val="44E2260F"/>
    <w:rsid w:val="45510C1D"/>
    <w:rsid w:val="45621CB8"/>
    <w:rsid w:val="47701087"/>
    <w:rsid w:val="47B24C70"/>
    <w:rsid w:val="48E06936"/>
    <w:rsid w:val="4AB665A6"/>
    <w:rsid w:val="4B093023"/>
    <w:rsid w:val="4B515FAE"/>
    <w:rsid w:val="4CAC529B"/>
    <w:rsid w:val="4E73450F"/>
    <w:rsid w:val="4EE87665"/>
    <w:rsid w:val="4F634B3B"/>
    <w:rsid w:val="4FB262F0"/>
    <w:rsid w:val="50A960CA"/>
    <w:rsid w:val="51C84A1F"/>
    <w:rsid w:val="51FD3157"/>
    <w:rsid w:val="520D1C2C"/>
    <w:rsid w:val="532428E1"/>
    <w:rsid w:val="53C867B2"/>
    <w:rsid w:val="543F6640"/>
    <w:rsid w:val="549433A2"/>
    <w:rsid w:val="54DB223A"/>
    <w:rsid w:val="54F75DCB"/>
    <w:rsid w:val="55782EB2"/>
    <w:rsid w:val="55932AC2"/>
    <w:rsid w:val="56B81BEB"/>
    <w:rsid w:val="5761672F"/>
    <w:rsid w:val="584A64CF"/>
    <w:rsid w:val="585F70BC"/>
    <w:rsid w:val="59BA0E8E"/>
    <w:rsid w:val="5A664A90"/>
    <w:rsid w:val="5BA63862"/>
    <w:rsid w:val="5C9A7C52"/>
    <w:rsid w:val="5D082036"/>
    <w:rsid w:val="5D7C3B8C"/>
    <w:rsid w:val="5E8631AE"/>
    <w:rsid w:val="5F84106B"/>
    <w:rsid w:val="5F8B6054"/>
    <w:rsid w:val="605A15AE"/>
    <w:rsid w:val="60B52C62"/>
    <w:rsid w:val="60CB598F"/>
    <w:rsid w:val="61F46BB3"/>
    <w:rsid w:val="630137BA"/>
    <w:rsid w:val="64172D7A"/>
    <w:rsid w:val="643D0A1C"/>
    <w:rsid w:val="66131139"/>
    <w:rsid w:val="66A34BE8"/>
    <w:rsid w:val="672C5F97"/>
    <w:rsid w:val="68132E1F"/>
    <w:rsid w:val="68A30F9F"/>
    <w:rsid w:val="698E5AA2"/>
    <w:rsid w:val="69B60EB8"/>
    <w:rsid w:val="6A1939FD"/>
    <w:rsid w:val="6AA046CB"/>
    <w:rsid w:val="6AC65A31"/>
    <w:rsid w:val="6AF04550"/>
    <w:rsid w:val="6C1A7BA7"/>
    <w:rsid w:val="6C6A594B"/>
    <w:rsid w:val="6D1A58DF"/>
    <w:rsid w:val="6E581574"/>
    <w:rsid w:val="6EB61F8B"/>
    <w:rsid w:val="6F975A2C"/>
    <w:rsid w:val="6FA263EC"/>
    <w:rsid w:val="6FF5299B"/>
    <w:rsid w:val="702D4053"/>
    <w:rsid w:val="70A8669A"/>
    <w:rsid w:val="7275710A"/>
    <w:rsid w:val="72D4736D"/>
    <w:rsid w:val="731C795D"/>
    <w:rsid w:val="732B19D5"/>
    <w:rsid w:val="736635F2"/>
    <w:rsid w:val="737D6286"/>
    <w:rsid w:val="738836DD"/>
    <w:rsid w:val="742D0373"/>
    <w:rsid w:val="743E0F3B"/>
    <w:rsid w:val="74BB33D6"/>
    <w:rsid w:val="74E24245"/>
    <w:rsid w:val="75550EA1"/>
    <w:rsid w:val="75AA42D8"/>
    <w:rsid w:val="75DC5E6F"/>
    <w:rsid w:val="75E87FA1"/>
    <w:rsid w:val="76593443"/>
    <w:rsid w:val="76812A95"/>
    <w:rsid w:val="76B80C67"/>
    <w:rsid w:val="771970EA"/>
    <w:rsid w:val="77B90424"/>
    <w:rsid w:val="78224A86"/>
    <w:rsid w:val="78D46FDE"/>
    <w:rsid w:val="796D4B64"/>
    <w:rsid w:val="7B2B3C3C"/>
    <w:rsid w:val="7B6313D6"/>
    <w:rsid w:val="7B94623A"/>
    <w:rsid w:val="7C700BBD"/>
    <w:rsid w:val="7D2414EB"/>
    <w:rsid w:val="7DCC7828"/>
    <w:rsid w:val="7DE54881"/>
    <w:rsid w:val="7F6C5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F3C7A-8330-486D-963A-A89AA758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1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F51A2"/>
    <w:pPr>
      <w:adjustRightInd w:val="0"/>
      <w:snapToGrid w:val="0"/>
      <w:spacing w:line="360" w:lineRule="auto"/>
      <w:ind w:firstLineChars="200" w:firstLine="560"/>
    </w:pPr>
    <w:rPr>
      <w:rFonts w:ascii="仿宋_GB2312" w:eastAsia="仿宋_GB2312"/>
      <w:sz w:val="28"/>
    </w:rPr>
  </w:style>
  <w:style w:type="paragraph" w:styleId="a4">
    <w:name w:val="Balloon Text"/>
    <w:basedOn w:val="a"/>
    <w:link w:val="Char0"/>
    <w:uiPriority w:val="99"/>
    <w:unhideWhenUsed/>
    <w:qFormat/>
    <w:rsid w:val="002F51A2"/>
    <w:rPr>
      <w:sz w:val="18"/>
      <w:szCs w:val="18"/>
    </w:rPr>
  </w:style>
  <w:style w:type="paragraph" w:styleId="a5">
    <w:name w:val="footer"/>
    <w:basedOn w:val="a"/>
    <w:link w:val="Char1"/>
    <w:uiPriority w:val="99"/>
    <w:unhideWhenUsed/>
    <w:qFormat/>
    <w:rsid w:val="002F51A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F51A2"/>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2F51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2F51A2"/>
    <w:rPr>
      <w:sz w:val="18"/>
      <w:szCs w:val="18"/>
    </w:rPr>
  </w:style>
  <w:style w:type="character" w:customStyle="1" w:styleId="Char1">
    <w:name w:val="页脚 Char"/>
    <w:basedOn w:val="a0"/>
    <w:link w:val="a5"/>
    <w:uiPriority w:val="99"/>
    <w:semiHidden/>
    <w:qFormat/>
    <w:rsid w:val="002F51A2"/>
    <w:rPr>
      <w:sz w:val="18"/>
      <w:szCs w:val="18"/>
    </w:rPr>
  </w:style>
  <w:style w:type="character" w:customStyle="1" w:styleId="Char">
    <w:name w:val="正文文本缩进 Char"/>
    <w:basedOn w:val="a0"/>
    <w:link w:val="a3"/>
    <w:qFormat/>
    <w:rsid w:val="002F51A2"/>
    <w:rPr>
      <w:rFonts w:ascii="仿宋_GB2312" w:eastAsia="仿宋_GB2312" w:hAnsi="Times New Roman" w:cs="Times New Roman"/>
      <w:sz w:val="28"/>
      <w:szCs w:val="24"/>
    </w:rPr>
  </w:style>
  <w:style w:type="paragraph" w:customStyle="1" w:styleId="Default">
    <w:name w:val="Default"/>
    <w:uiPriority w:val="99"/>
    <w:qFormat/>
    <w:rsid w:val="002F51A2"/>
    <w:pPr>
      <w:widowControl w:val="0"/>
      <w:autoSpaceDE w:val="0"/>
      <w:autoSpaceDN w:val="0"/>
      <w:adjustRightInd w:val="0"/>
    </w:pPr>
    <w:rPr>
      <w:color w:val="000000"/>
      <w:sz w:val="24"/>
      <w:szCs w:val="24"/>
    </w:rPr>
  </w:style>
  <w:style w:type="paragraph" w:customStyle="1" w:styleId="1">
    <w:name w:val="列出段落1"/>
    <w:basedOn w:val="a"/>
    <w:uiPriority w:val="34"/>
    <w:qFormat/>
    <w:rsid w:val="002F51A2"/>
    <w:pPr>
      <w:ind w:firstLineChars="200" w:firstLine="420"/>
    </w:pPr>
  </w:style>
  <w:style w:type="paragraph" w:customStyle="1" w:styleId="a8">
    <w:name w:val="二级条标题"/>
    <w:basedOn w:val="a"/>
    <w:next w:val="a"/>
    <w:qFormat/>
    <w:rsid w:val="002F51A2"/>
    <w:pPr>
      <w:widowControl/>
      <w:tabs>
        <w:tab w:val="left" w:pos="360"/>
      </w:tabs>
      <w:spacing w:beforeLines="50" w:afterLines="50"/>
      <w:jc w:val="left"/>
      <w:outlineLvl w:val="3"/>
    </w:pPr>
    <w:rPr>
      <w:rFonts w:ascii="黑体" w:eastAsia="黑体" w:hint="eastAsia"/>
      <w:kern w:val="0"/>
      <w:szCs w:val="21"/>
    </w:rPr>
  </w:style>
  <w:style w:type="character" w:customStyle="1" w:styleId="Char0">
    <w:name w:val="批注框文本 Char"/>
    <w:basedOn w:val="a0"/>
    <w:link w:val="a4"/>
    <w:uiPriority w:val="99"/>
    <w:semiHidden/>
    <w:qFormat/>
    <w:rsid w:val="002F51A2"/>
    <w:rPr>
      <w:kern w:val="2"/>
      <w:sz w:val="18"/>
      <w:szCs w:val="18"/>
    </w:rPr>
  </w:style>
  <w:style w:type="paragraph" w:customStyle="1" w:styleId="2">
    <w:name w:val="列出段落2"/>
    <w:basedOn w:val="a"/>
    <w:uiPriority w:val="99"/>
    <w:unhideWhenUsed/>
    <w:qFormat/>
    <w:rsid w:val="002F51A2"/>
    <w:pPr>
      <w:ind w:firstLineChars="200" w:firstLine="420"/>
    </w:pPr>
  </w:style>
  <w:style w:type="paragraph" w:styleId="a9">
    <w:name w:val="Title"/>
    <w:basedOn w:val="a"/>
    <w:next w:val="a"/>
    <w:link w:val="Char3"/>
    <w:uiPriority w:val="10"/>
    <w:qFormat/>
    <w:rsid w:val="00DA3D86"/>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9"/>
    <w:uiPriority w:val="10"/>
    <w:rsid w:val="00DA3D86"/>
    <w:rPr>
      <w:rFonts w:asciiTheme="majorHAnsi" w:hAnsiTheme="majorHAnsi" w:cstheme="majorBidi"/>
      <w:b/>
      <w:bCs/>
      <w:kern w:val="2"/>
      <w:sz w:val="32"/>
      <w:szCs w:val="32"/>
    </w:rPr>
  </w:style>
  <w:style w:type="paragraph" w:styleId="aa">
    <w:name w:val="Subtitle"/>
    <w:basedOn w:val="a"/>
    <w:next w:val="a"/>
    <w:link w:val="Char4"/>
    <w:uiPriority w:val="11"/>
    <w:qFormat/>
    <w:rsid w:val="00E00259"/>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uiPriority w:val="11"/>
    <w:rsid w:val="00E00259"/>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514</Words>
  <Characters>2934</Characters>
  <Application>Microsoft Office Word</Application>
  <DocSecurity>0</DocSecurity>
  <Lines>24</Lines>
  <Paragraphs>6</Paragraphs>
  <ScaleCrop>false</ScaleCrop>
  <Company>Lenovo</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刘立煌</cp:lastModifiedBy>
  <cp:revision>196</cp:revision>
  <cp:lastPrinted>2016-11-09T07:54:00Z</cp:lastPrinted>
  <dcterms:created xsi:type="dcterms:W3CDTF">2015-12-30T01:25:00Z</dcterms:created>
  <dcterms:modified xsi:type="dcterms:W3CDTF">2016-11-28T07:21:00Z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