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2A" w:rsidRPr="002E25D3" w:rsidRDefault="0024142A" w:rsidP="002E25D3">
      <w:pPr>
        <w:pStyle w:val="a5"/>
        <w:rPr>
          <w:sz w:val="44"/>
          <w:szCs w:val="44"/>
          <w:lang w:val="en-GB"/>
        </w:rPr>
      </w:pPr>
      <w:r w:rsidRPr="002E25D3">
        <w:rPr>
          <w:rFonts w:hint="eastAsia"/>
          <w:sz w:val="44"/>
          <w:szCs w:val="44"/>
          <w:lang w:val="en-GB"/>
        </w:rPr>
        <w:t>内镜下胃息肉切除术临床路径</w:t>
      </w:r>
    </w:p>
    <w:p w:rsidR="008F6944" w:rsidRDefault="0024142A" w:rsidP="008F6944">
      <w:pPr>
        <w:autoSpaceDE/>
        <w:autoSpaceDN/>
        <w:snapToGrid w:val="0"/>
        <w:spacing w:line="360" w:lineRule="auto"/>
        <w:jc w:val="center"/>
        <w:rPr>
          <w:rFonts w:ascii="仿宋_GB2312" w:eastAsia="仿宋_GB2312" w:hAnsi="宋体" w:cs="Times New Roman"/>
          <w:kern w:val="2"/>
          <w:sz w:val="32"/>
          <w:szCs w:val="32"/>
          <w:lang w:val="en-GB"/>
        </w:rPr>
      </w:pPr>
      <w:r w:rsidRPr="002E25D3">
        <w:rPr>
          <w:rFonts w:ascii="仿宋_GB2312" w:eastAsia="仿宋_GB2312" w:hAnsi="宋体" w:cs="Times New Roman" w:hint="eastAsia"/>
          <w:kern w:val="2"/>
          <w:sz w:val="32"/>
          <w:szCs w:val="32"/>
          <w:lang w:val="en-GB"/>
        </w:rPr>
        <w:t>（2016年县</w:t>
      </w:r>
      <w:r w:rsidR="00E60E69">
        <w:rPr>
          <w:rFonts w:ascii="仿宋_GB2312" w:eastAsia="仿宋_GB2312" w:hAnsi="宋体" w:cs="Times New Roman" w:hint="eastAsia"/>
          <w:kern w:val="2"/>
          <w:sz w:val="32"/>
          <w:szCs w:val="32"/>
          <w:lang w:val="en-GB"/>
        </w:rPr>
        <w:t>级</w:t>
      </w:r>
      <w:r w:rsidRPr="002E25D3">
        <w:rPr>
          <w:rFonts w:ascii="仿宋_GB2312" w:eastAsia="仿宋_GB2312" w:hAnsi="宋体" w:cs="Times New Roman" w:hint="eastAsia"/>
          <w:kern w:val="2"/>
          <w:sz w:val="32"/>
          <w:szCs w:val="32"/>
          <w:lang w:val="en-GB"/>
        </w:rPr>
        <w:t>医院版）</w:t>
      </w:r>
    </w:p>
    <w:p w:rsidR="008F6944" w:rsidRDefault="008F6944" w:rsidP="008F6944">
      <w:pPr>
        <w:autoSpaceDE/>
        <w:autoSpaceDN/>
        <w:snapToGrid w:val="0"/>
        <w:spacing w:line="360" w:lineRule="auto"/>
        <w:rPr>
          <w:rFonts w:ascii="仿宋_GB2312" w:eastAsia="仿宋_GB2312" w:hAnsi="宋体" w:cs="Times New Roman"/>
          <w:kern w:val="2"/>
          <w:sz w:val="32"/>
          <w:szCs w:val="32"/>
          <w:lang w:val="en-GB"/>
        </w:rPr>
      </w:pPr>
    </w:p>
    <w:p w:rsidR="0024142A" w:rsidRPr="008F6944" w:rsidRDefault="0024142A" w:rsidP="008F6944">
      <w:pPr>
        <w:autoSpaceDE/>
        <w:autoSpaceDN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  <w:lang w:val="en-GB"/>
        </w:rPr>
      </w:pPr>
      <w:bookmarkStart w:id="0" w:name="_GoBack"/>
      <w:bookmarkEnd w:id="0"/>
      <w:r w:rsidRPr="002E25D3">
        <w:rPr>
          <w:rFonts w:ascii="黑体" w:eastAsia="黑体" w:hAnsi="黑体" w:cs="Times New Roman" w:hint="eastAsia"/>
          <w:kern w:val="2"/>
          <w:sz w:val="32"/>
          <w:szCs w:val="32"/>
          <w:lang w:val="en-GB"/>
        </w:rPr>
        <w:t>一、内镜下胃息肉切除术临床路径标准住院流程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（一）适用对象。</w:t>
      </w:r>
    </w:p>
    <w:p w:rsidR="0024142A" w:rsidRPr="002E25D3" w:rsidRDefault="0024142A" w:rsidP="00A500E3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cs="Times New Roman" w:hint="eastAsia"/>
          <w:kern w:val="2"/>
          <w:sz w:val="32"/>
          <w:szCs w:val="32"/>
          <w:lang w:val="en-GB"/>
        </w:rPr>
        <w:t>第一诊断为胃息肉（ICD-10：K31.7/D13.1）</w:t>
      </w:r>
      <w:r w:rsidRPr="002E25D3">
        <w:rPr>
          <w:rFonts w:ascii="仿宋_GB2312" w:eastAsia="仿宋_GB2312" w:hAnsi="仿宋" w:hint="eastAsia"/>
          <w:sz w:val="32"/>
          <w:szCs w:val="32"/>
        </w:rPr>
        <w:t>。</w:t>
      </w:r>
    </w:p>
    <w:p w:rsidR="0024142A" w:rsidRPr="002E25D3" w:rsidRDefault="0024142A" w:rsidP="00A500E3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行内镜下胃息肉切除术（ICD-9-CM-3：43.4102）。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（二）诊断依据。</w:t>
      </w:r>
    </w:p>
    <w:p w:rsidR="0024142A" w:rsidRPr="002E25D3" w:rsidRDefault="0024142A" w:rsidP="00A500E3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根据《实用内科学》（复旦大学医学院编著，人民卫生出版社，2013年8月，第14版）、《消化内镜切除术》（周平红，姚礼庆主编，复旦大学出版社，2012年3月）等国内、外临床、内镜诊断及治疗指南。</w:t>
      </w:r>
    </w:p>
    <w:p w:rsidR="0024142A" w:rsidRPr="002E25D3" w:rsidRDefault="0024142A" w:rsidP="00A500E3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1.胃镜发现胃息肉。</w:t>
      </w:r>
    </w:p>
    <w:p w:rsidR="0024142A" w:rsidRPr="002E25D3" w:rsidRDefault="0024142A" w:rsidP="00A500E3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2.钡餐造影检查发现充盈缺损，提示胃息肉。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（三）治疗方案的选择。</w:t>
      </w:r>
    </w:p>
    <w:p w:rsidR="0024142A" w:rsidRPr="002E25D3" w:rsidRDefault="0024142A" w:rsidP="001842DD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根据《实用内科学》（复旦大学医学院编著，人民卫生出版社，2013年8月，第14版）、《消化内镜切除术》（周平红，姚礼庆主编，复旦大学出版社，2012年3月）等国内、外临床、内镜诊断及治疗指南。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1.内科基本治疗（包括生活方式、饮食等）。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2.内镜下治疗。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（四）标准住院日为5</w:t>
      </w:r>
      <w:r w:rsidRPr="002E25D3">
        <w:rPr>
          <w:rFonts w:ascii="微软雅黑" w:eastAsia="微软雅黑" w:hAnsi="微软雅黑" w:cs="微软雅黑" w:hint="eastAsia"/>
          <w:b/>
          <w:kern w:val="2"/>
          <w:sz w:val="32"/>
          <w:szCs w:val="32"/>
          <w:lang w:val="en-GB"/>
        </w:rPr>
        <w:t>–</w:t>
      </w: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7天。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（五）进入临床路径标准。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bCs/>
          <w:sz w:val="32"/>
          <w:szCs w:val="32"/>
        </w:rPr>
        <w:t>1.</w:t>
      </w:r>
      <w:r w:rsidRPr="002E25D3">
        <w:rPr>
          <w:rFonts w:ascii="仿宋_GB2312" w:eastAsia="仿宋_GB2312" w:hAnsi="仿宋" w:hint="eastAsia"/>
          <w:sz w:val="32"/>
          <w:szCs w:val="32"/>
        </w:rPr>
        <w:t xml:space="preserve">第一诊断必须符合ICD-10：K31.7/D13.1胃息肉疾病编码。 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lastRenderedPageBreak/>
        <w:t>2.符合胃息肉内镜下切除适应证。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3.当患者同时具有其他疾病诊断时，但住院期间不需要特殊处理，也不影响第一诊断的临床路径流程实施时，可以进入路径。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（六）住院期间检查项目。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1.必需的检查项目：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（1）血常规、血型及Rh因子；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（2）尿常规；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（3）大便常规+隐血试验；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（4）肝肾功能、电解质、血糖；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pacing w:val="-6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（5）</w:t>
      </w:r>
      <w:r w:rsidRPr="002E25D3">
        <w:rPr>
          <w:rFonts w:ascii="仿宋_GB2312" w:eastAsia="仿宋_GB2312" w:hAnsi="仿宋" w:hint="eastAsia"/>
          <w:spacing w:val="-6"/>
          <w:sz w:val="32"/>
          <w:szCs w:val="32"/>
        </w:rPr>
        <w:t>感染指标筛查（乙型、丙型肝炎病毒、HIV、梅毒）；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（6）凝血功能；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（7）心电图、肝胆胰脾彩超、胸部正侧位片。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2.根据患者情况可选择的检查项目：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（1）消化道肿瘤指标筛查（CA199、CA242、CEA等）；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（2）超声内镜；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（3）结肠镜检查。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（七）内镜下治疗为住院后第3天。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1.术前完成胃镜检查和治疗同意书。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2.可使用镇静或麻醉药：术中需监测生命体征，术后要在内镜室观察至清醒后返回病房。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3.按顺序进行常规胃镜检查。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4.根据术中所见息肉形态、大小、数目等决定内镜下治疗方案并按胃息肉内镜治疗规范实施治疗，围手术期采用适当措施避免可能的</w:t>
      </w:r>
      <w:r w:rsidRPr="002E25D3">
        <w:rPr>
          <w:rFonts w:ascii="仿宋_GB2312" w:eastAsia="仿宋_GB2312" w:hAnsi="仿宋" w:hint="eastAsia"/>
          <w:sz w:val="32"/>
          <w:szCs w:val="32"/>
        </w:rPr>
        <w:lastRenderedPageBreak/>
        <w:t>治疗并发症。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5.抗血小板药物停用至少1周。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6.尽可能回收切除标本送病理检查。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7.术后密切观察病情，及时发现并处理可能的并发症。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（八）选择用药。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1.使用抑酸剂（如PPI/Ｈ</w:t>
      </w:r>
      <w:r w:rsidRPr="002E25D3">
        <w:rPr>
          <w:rFonts w:ascii="仿宋_GB2312" w:eastAsia="仿宋_GB2312" w:hAnsi="仿宋" w:hint="eastAsia"/>
          <w:sz w:val="32"/>
          <w:szCs w:val="32"/>
          <w:vertAlign w:val="subscript"/>
        </w:rPr>
        <w:t>2</w:t>
      </w:r>
      <w:r w:rsidRPr="002E25D3">
        <w:rPr>
          <w:rFonts w:ascii="仿宋_GB2312" w:eastAsia="仿宋_GB2312" w:hAnsi="仿宋" w:hint="eastAsia"/>
          <w:sz w:val="32"/>
          <w:szCs w:val="32"/>
        </w:rPr>
        <w:t>RA）。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2.用黏膜保护剂。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3.必要时抗生素。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（九）出院标准。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1.无出血、穿孔、感染等并发症。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2.患者一般情况允许。</w:t>
      </w:r>
    </w:p>
    <w:p w:rsidR="0024142A" w:rsidRPr="002E25D3" w:rsidRDefault="0024142A" w:rsidP="00AA6BE3">
      <w:pPr>
        <w:autoSpaceDE/>
        <w:autoSpaceDN/>
        <w:snapToGrid w:val="0"/>
        <w:spacing w:line="360" w:lineRule="auto"/>
        <w:ind w:firstLineChars="200" w:firstLine="643"/>
        <w:jc w:val="both"/>
        <w:rPr>
          <w:rFonts w:ascii="楷体_GB2312" w:eastAsia="楷体_GB2312" w:hAnsi="仿宋" w:cs="Times New Roman"/>
          <w:b/>
          <w:kern w:val="2"/>
          <w:sz w:val="32"/>
          <w:szCs w:val="32"/>
          <w:lang w:val="en-GB"/>
        </w:rPr>
      </w:pPr>
      <w:r w:rsidRPr="002E25D3">
        <w:rPr>
          <w:rFonts w:ascii="楷体_GB2312" w:eastAsia="楷体_GB2312" w:hAnsi="仿宋" w:cs="Times New Roman" w:hint="eastAsia"/>
          <w:b/>
          <w:kern w:val="2"/>
          <w:sz w:val="32"/>
          <w:szCs w:val="32"/>
          <w:lang w:val="en-GB"/>
        </w:rPr>
        <w:t>（十）变异及原因分析。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1.患者年龄小于18岁，或大于65岁者，进入特殊人群临床路径。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2.具有胃镜操作禁忌证的患者进入特殊人群临床路径：如心肺等重要脏器功能障碍及凝血功能障碍，有精神疾患不能配合者，上消化道穿孔的急性期或消化道手术的围手术期，严重咽喉部疾患内镜不能插入，腐蚀性食管损伤的急性期等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3.应用影响血小板及凝血功能药物者，进入特殊人群临床路径。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4.息肉不符合内镜治疗指征，或患者存在内镜治疗禁忌证，出院或转外科，进入胃肿瘤外科治疗临床路径。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5.合并急性消化道大出血，进入消化道出血临床路径，进行内镜下止血，必要转外科手术。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6.合并感染，需要继续抗感染治疗，进入消化道感染临床路径。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lastRenderedPageBreak/>
        <w:t>7.合并消化道穿孔，转外科手术，进入相应临床路径。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8.病理提示恶性，转外科手术，进入其他路径。</w:t>
      </w:r>
    </w:p>
    <w:p w:rsidR="0024142A" w:rsidRPr="002E25D3" w:rsidRDefault="0024142A" w:rsidP="005323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25D3">
        <w:rPr>
          <w:rFonts w:ascii="仿宋_GB2312" w:eastAsia="仿宋_GB2312" w:hAnsi="仿宋" w:hint="eastAsia"/>
          <w:sz w:val="32"/>
          <w:szCs w:val="32"/>
        </w:rPr>
        <w:t>9.多发息肉、大息肉或复杂情况：多发大于3枚，或息肉直径≥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E25D3">
          <w:rPr>
            <w:rFonts w:ascii="仿宋_GB2312" w:eastAsia="仿宋_GB2312" w:hAnsi="仿宋" w:hint="eastAsia"/>
            <w:sz w:val="32"/>
            <w:szCs w:val="32"/>
          </w:rPr>
          <w:t>2cm</w:t>
        </w:r>
      </w:smartTag>
      <w:r w:rsidRPr="002E25D3">
        <w:rPr>
          <w:rFonts w:ascii="仿宋_GB2312" w:eastAsia="仿宋_GB2312" w:hAnsi="仿宋" w:hint="eastAsia"/>
          <w:sz w:val="32"/>
          <w:szCs w:val="32"/>
        </w:rPr>
        <w:t>或广基息肉或粗蒂息肉（蒂直径≥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2E25D3">
          <w:rPr>
            <w:rFonts w:ascii="仿宋_GB2312" w:eastAsia="仿宋_GB2312" w:hAnsi="仿宋" w:hint="eastAsia"/>
            <w:sz w:val="32"/>
            <w:szCs w:val="32"/>
          </w:rPr>
          <w:t>1cm</w:t>
        </w:r>
      </w:smartTag>
      <w:r w:rsidRPr="002E25D3">
        <w:rPr>
          <w:rFonts w:ascii="仿宋_GB2312" w:eastAsia="仿宋_GB2312" w:hAnsi="仿宋" w:hint="eastAsia"/>
          <w:sz w:val="32"/>
          <w:szCs w:val="32"/>
        </w:rPr>
        <w:t>）。</w:t>
      </w:r>
    </w:p>
    <w:p w:rsidR="0024142A" w:rsidRPr="003A267C" w:rsidRDefault="0024142A" w:rsidP="002E25D3">
      <w:pPr>
        <w:spacing w:line="360" w:lineRule="auto"/>
        <w:ind w:firstLineChars="200" w:firstLine="640"/>
        <w:rPr>
          <w:rFonts w:ascii="黑体" w:eastAsia="黑体" w:hAnsi="宋体" w:cs="Times New Roman"/>
          <w:color w:val="auto"/>
          <w:kern w:val="2"/>
          <w:sz w:val="32"/>
          <w:szCs w:val="32"/>
        </w:rPr>
      </w:pPr>
      <w:r w:rsidRPr="002E25D3">
        <w:rPr>
          <w:rFonts w:ascii="仿宋_GB2312" w:eastAsia="仿宋_GB2312" w:hAnsi="仿宋" w:cs="Times New Roman" w:hint="eastAsia"/>
          <w:color w:val="auto"/>
          <w:sz w:val="32"/>
          <w:szCs w:val="32"/>
        </w:rPr>
        <w:br w:type="page"/>
      </w:r>
      <w:r w:rsidRPr="003A267C">
        <w:rPr>
          <w:rFonts w:ascii="黑体" w:eastAsia="黑体" w:hAnsi="宋体" w:cs="Times New Roman" w:hint="eastAsia"/>
          <w:color w:val="auto"/>
          <w:kern w:val="2"/>
          <w:sz w:val="32"/>
          <w:szCs w:val="32"/>
        </w:rPr>
        <w:lastRenderedPageBreak/>
        <w:t>二、内镜下胃息肉切除术临床路径表单</w:t>
      </w:r>
    </w:p>
    <w:p w:rsidR="0024142A" w:rsidRPr="003A267C" w:rsidRDefault="0024142A" w:rsidP="002E25D3">
      <w:pPr>
        <w:autoSpaceDE/>
        <w:autoSpaceDN/>
        <w:adjustRightInd/>
        <w:ind w:firstLineChars="250" w:firstLine="525"/>
        <w:jc w:val="both"/>
        <w:rPr>
          <w:rFonts w:ascii="宋体" w:cs="Times New Roman"/>
          <w:kern w:val="2"/>
          <w:sz w:val="21"/>
          <w:szCs w:val="21"/>
        </w:rPr>
      </w:pPr>
      <w:r w:rsidRPr="003A267C">
        <w:rPr>
          <w:rFonts w:ascii="宋体" w:hAnsi="宋体" w:cs="Times New Roman" w:hint="eastAsia"/>
          <w:kern w:val="2"/>
          <w:sz w:val="21"/>
          <w:szCs w:val="21"/>
        </w:rPr>
        <w:t>适用对象：</w:t>
      </w:r>
      <w:r w:rsidRPr="003A267C">
        <w:rPr>
          <w:rFonts w:ascii="宋体" w:hAnsi="宋体" w:cs="Times New Roman" w:hint="eastAsia"/>
          <w:b/>
          <w:kern w:val="2"/>
          <w:sz w:val="21"/>
          <w:szCs w:val="21"/>
        </w:rPr>
        <w:t>第一诊断为</w:t>
      </w:r>
      <w:r w:rsidRPr="003A267C">
        <w:rPr>
          <w:rFonts w:ascii="宋体" w:hAnsi="宋体" w:cs="Times New Roman" w:hint="eastAsia"/>
          <w:kern w:val="2"/>
          <w:sz w:val="21"/>
          <w:szCs w:val="22"/>
        </w:rPr>
        <w:t>胃息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肉（</w:t>
      </w:r>
      <w:r w:rsidRPr="003A267C">
        <w:rPr>
          <w:rFonts w:ascii="宋体" w:hAnsi="宋体" w:cs="Times New Roman"/>
          <w:kern w:val="2"/>
          <w:sz w:val="21"/>
          <w:szCs w:val="21"/>
        </w:rPr>
        <w:t>ICD-10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：</w:t>
      </w:r>
      <w:r w:rsidRPr="003A267C">
        <w:rPr>
          <w:rFonts w:ascii="宋体" w:hAnsi="宋体" w:cs="Times New Roman"/>
          <w:kern w:val="2"/>
          <w:sz w:val="21"/>
          <w:szCs w:val="21"/>
        </w:rPr>
        <w:t>K31.7/D13.1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）</w:t>
      </w:r>
    </w:p>
    <w:p w:rsidR="0024142A" w:rsidRPr="003A267C" w:rsidRDefault="0024142A" w:rsidP="002E25D3">
      <w:pPr>
        <w:autoSpaceDE/>
        <w:autoSpaceDN/>
        <w:adjustRightInd/>
        <w:ind w:firstLineChars="750" w:firstLine="1581"/>
        <w:jc w:val="both"/>
        <w:rPr>
          <w:rFonts w:ascii="宋体" w:cs="Times New Roman"/>
          <w:kern w:val="2"/>
          <w:sz w:val="21"/>
          <w:szCs w:val="21"/>
        </w:rPr>
      </w:pPr>
      <w:r w:rsidRPr="003A267C">
        <w:rPr>
          <w:rFonts w:ascii="宋体" w:hAnsi="宋体" w:cs="Times New Roman" w:hint="eastAsia"/>
          <w:b/>
          <w:kern w:val="2"/>
          <w:sz w:val="21"/>
          <w:szCs w:val="21"/>
        </w:rPr>
        <w:t>行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内镜下胃息肉切除（</w:t>
      </w:r>
      <w:r w:rsidRPr="003A267C">
        <w:rPr>
          <w:rFonts w:ascii="宋体" w:hAnsi="宋体" w:cs="Times New Roman"/>
          <w:kern w:val="2"/>
          <w:sz w:val="21"/>
          <w:szCs w:val="21"/>
        </w:rPr>
        <w:t>ICD-9-CM-3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：</w:t>
      </w:r>
      <w:r w:rsidRPr="003A267C">
        <w:rPr>
          <w:rFonts w:ascii="宋体" w:hAnsi="宋体" w:cs="Times New Roman"/>
          <w:kern w:val="2"/>
          <w:sz w:val="21"/>
          <w:szCs w:val="21"/>
        </w:rPr>
        <w:t>43.4102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）</w:t>
      </w:r>
    </w:p>
    <w:p w:rsidR="0024142A" w:rsidRPr="003A267C" w:rsidRDefault="0024142A" w:rsidP="002E25D3">
      <w:pPr>
        <w:autoSpaceDE/>
        <w:autoSpaceDN/>
        <w:adjustRightInd/>
        <w:ind w:firstLineChars="250" w:firstLine="525"/>
        <w:jc w:val="both"/>
        <w:rPr>
          <w:rFonts w:ascii="宋体" w:cs="Times New Roman"/>
          <w:kern w:val="2"/>
          <w:sz w:val="21"/>
          <w:szCs w:val="21"/>
        </w:rPr>
      </w:pPr>
      <w:r w:rsidRPr="003A267C">
        <w:rPr>
          <w:rFonts w:ascii="宋体" w:hAnsi="宋体" w:cs="Times New Roman" w:hint="eastAsia"/>
          <w:kern w:val="2"/>
          <w:sz w:val="21"/>
          <w:szCs w:val="21"/>
        </w:rPr>
        <w:t>患者姓名：性别：年龄：门诊号：住院号：</w:t>
      </w:r>
    </w:p>
    <w:p w:rsidR="0024142A" w:rsidRPr="003A267C" w:rsidRDefault="0024142A" w:rsidP="002E25D3">
      <w:pPr>
        <w:autoSpaceDE/>
        <w:autoSpaceDN/>
        <w:adjustRightInd/>
        <w:ind w:firstLineChars="250" w:firstLine="525"/>
        <w:jc w:val="both"/>
        <w:rPr>
          <w:rFonts w:ascii="宋体" w:cs="Times New Roman"/>
          <w:kern w:val="2"/>
          <w:sz w:val="21"/>
          <w:szCs w:val="21"/>
        </w:rPr>
      </w:pPr>
      <w:r w:rsidRPr="003A267C">
        <w:rPr>
          <w:rFonts w:ascii="宋体" w:hAnsi="宋体" w:cs="Times New Roman" w:hint="eastAsia"/>
          <w:kern w:val="2"/>
          <w:sz w:val="21"/>
          <w:szCs w:val="21"/>
        </w:rPr>
        <w:t>住院日期：年月日出院日期：年月日标准住院日：</w:t>
      </w:r>
      <w:r w:rsidRPr="003A267C">
        <w:rPr>
          <w:rFonts w:ascii="宋体" w:hAnsi="宋体" w:cs="Times New Roman"/>
          <w:kern w:val="2"/>
          <w:sz w:val="21"/>
          <w:szCs w:val="21"/>
        </w:rPr>
        <w:t>5–7</w:t>
      </w:r>
      <w:r w:rsidRPr="003A267C">
        <w:rPr>
          <w:rFonts w:ascii="宋体" w:hAnsi="宋体" w:cs="Times New Roman" w:hint="eastAsia"/>
          <w:kern w:val="2"/>
          <w:sz w:val="21"/>
          <w:szCs w:val="21"/>
        </w:rPr>
        <w:t>日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35"/>
        <w:gridCol w:w="2858"/>
        <w:gridCol w:w="2861"/>
      </w:tblGrid>
      <w:tr w:rsidR="0024142A" w:rsidRPr="003A267C" w:rsidTr="00B66060">
        <w:trPr>
          <w:jc w:val="center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24142A">
            <w:pPr>
              <w:autoSpaceDE/>
              <w:autoSpaceDN/>
              <w:adjustRightInd/>
              <w:ind w:firstLineChars="50" w:firstLine="105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日期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住院第</w:t>
            </w: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t>1</w:t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天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u w:val="single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住院第</w:t>
            </w: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t>2</w:t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天</w:t>
            </w:r>
          </w:p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u w:val="single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住院第</w:t>
            </w: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t>3</w:t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天</w:t>
            </w:r>
          </w:p>
        </w:tc>
      </w:tr>
      <w:tr w:rsidR="0024142A" w:rsidRPr="003A267C" w:rsidTr="00B66060">
        <w:trPr>
          <w:trHeight w:val="3405"/>
          <w:jc w:val="center"/>
        </w:trPr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主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要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诊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疗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工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u w:val="single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作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4142A" w:rsidRPr="003A267C" w:rsidRDefault="0024142A" w:rsidP="0024142A">
            <w:pPr>
              <w:tabs>
                <w:tab w:val="num" w:pos="379"/>
              </w:tabs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 w:hint="eastAsia"/>
                <w:spacing w:val="-6"/>
                <w:kern w:val="2"/>
                <w:sz w:val="21"/>
                <w:szCs w:val="21"/>
              </w:rPr>
              <w:t>询问病史和体格检查</w:t>
            </w:r>
          </w:p>
          <w:p w:rsidR="0024142A" w:rsidRPr="003A267C" w:rsidRDefault="0024142A" w:rsidP="003A267C">
            <w:pPr>
              <w:tabs>
                <w:tab w:val="num" w:pos="379"/>
              </w:tabs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□完成病历书写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spacing w:val="-6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 w:hint="eastAsia"/>
                <w:spacing w:val="-6"/>
                <w:kern w:val="2"/>
                <w:sz w:val="21"/>
                <w:szCs w:val="21"/>
              </w:rPr>
              <w:t>开据化验单，完善术前检查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□确认停止服用阿司匹林等抗血小板药物至少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周</w:t>
            </w:r>
          </w:p>
        </w:tc>
        <w:tc>
          <w:tcPr>
            <w:tcW w:w="2858" w:type="dxa"/>
            <w:tcBorders>
              <w:top w:val="double" w:sz="4" w:space="0" w:color="auto"/>
            </w:tcBorders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□上级医师查房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9" w:hangingChars="152" w:hanging="319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□评估胃息肉经内镜下治疗的指征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□确定胃镜检查时间、落实术前检查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25" w:hangingChars="155" w:hanging="32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□确定内镜下治疗方案，向患者或其家属交待围手术期注意事项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25" w:hangingChars="155" w:hanging="32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□签署胃镜检查及治疗同意书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□完</w:t>
            </w:r>
            <w:smartTag w:uri="urn:schemas-microsoft-com:office:smarttags" w:element="PersonName">
              <w:smartTagPr>
                <w:attr w:name="ProductID" w:val="成上级"/>
              </w:smartTagPr>
              <w:r w:rsidRPr="003A267C">
                <w:rPr>
                  <w:rFonts w:ascii="宋体" w:hAnsi="宋体" w:cs="Times New Roman" w:hint="eastAsia"/>
                  <w:kern w:val="2"/>
                  <w:sz w:val="21"/>
                  <w:szCs w:val="21"/>
                </w:rPr>
                <w:t>成上级</w:t>
              </w:r>
            </w:smartTag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医师查房记录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 w:hint="eastAsia"/>
                <w:spacing w:val="-6"/>
                <w:kern w:val="2"/>
                <w:sz w:val="21"/>
                <w:szCs w:val="21"/>
              </w:rPr>
              <w:t>根据需要，请相关科室会诊</w:t>
            </w:r>
          </w:p>
        </w:tc>
        <w:tc>
          <w:tcPr>
            <w:tcW w:w="2861" w:type="dxa"/>
            <w:tcBorders>
              <w:top w:val="double" w:sz="4" w:space="0" w:color="auto"/>
            </w:tcBorders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□术前禁食禁水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8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小时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□上级医师查房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□完成查房记录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□行胃镜检查治疗，酌情行超声內镜检查，根据检查所见采用相应内镜下治疗措施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□将回收标本送病理检查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□观察有无胃镜治疗后并发症（如穿孔、出血等）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□完成术后首次病程记录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  <w:tr w:rsidR="0024142A" w:rsidRPr="003A267C" w:rsidTr="00B66060">
        <w:trPr>
          <w:trHeight w:val="4002"/>
          <w:jc w:val="center"/>
        </w:trPr>
        <w:tc>
          <w:tcPr>
            <w:tcW w:w="81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重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点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医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嘱</w:t>
            </w:r>
          </w:p>
        </w:tc>
        <w:tc>
          <w:tcPr>
            <w:tcW w:w="2835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长期医嘱：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□消化内科护理常规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□二级护理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□少渣饮食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临时医嘱：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□急诊血常规</w:t>
            </w:r>
            <w:r>
              <w:rPr>
                <w:rFonts w:ascii="宋体" w:hAnsi="宋体" w:cs="Times New Roman" w:hint="eastAsia"/>
                <w:kern w:val="2"/>
                <w:sz w:val="21"/>
                <w:szCs w:val="21"/>
              </w:rPr>
              <w:t>、</w:t>
            </w:r>
            <w:r w:rsidRPr="00563229">
              <w:rPr>
                <w:rFonts w:ascii="宋体" w:hAnsi="宋体" w:cs="Times New Roman" w:hint="eastAsia"/>
                <w:kern w:val="2"/>
                <w:sz w:val="21"/>
                <w:szCs w:val="21"/>
              </w:rPr>
              <w:t>血型及</w:t>
            </w:r>
            <w:r w:rsidRPr="00563229">
              <w:rPr>
                <w:rFonts w:ascii="宋体" w:hAnsi="宋体" w:cs="Times New Roman"/>
                <w:kern w:val="2"/>
                <w:sz w:val="21"/>
                <w:szCs w:val="21"/>
              </w:rPr>
              <w:t>Rh</w:t>
            </w:r>
            <w:r w:rsidRPr="00563229">
              <w:rPr>
                <w:rFonts w:ascii="宋体" w:hAnsi="宋体" w:cs="Times New Roman" w:hint="eastAsia"/>
                <w:kern w:val="2"/>
                <w:sz w:val="21"/>
                <w:szCs w:val="21"/>
              </w:rPr>
              <w:t>因子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□尿常规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□大便常规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+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隐血试验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□肝肾功能、电解质</w:t>
            </w:r>
            <w:r>
              <w:rPr>
                <w:rFonts w:ascii="宋体" w:hAnsi="宋体" w:cs="Times New Roman" w:hint="eastAsia"/>
                <w:kern w:val="2"/>
                <w:sz w:val="21"/>
                <w:szCs w:val="21"/>
              </w:rPr>
              <w:t>、血糖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□感染指标筛查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□急诊凝血功能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□心电图、胸片、肝胆胰脾彩超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□肿瘤指标筛查（必要时）</w:t>
            </w:r>
          </w:p>
        </w:tc>
        <w:tc>
          <w:tcPr>
            <w:tcW w:w="2858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长期医嘱：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□消化内科护理常规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□一级护理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□少渣饮食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color w:val="FF0000"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临时医嘱：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□次晨禁食禁水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□相关科室会诊（必要时）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 xml:space="preserve"> 24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小时备血（必要时）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1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长期医嘱：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□消化内科护理常规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□一级护理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□禁食不禁水（检查治疗后）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□酌情予静脉输液治疗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 xml:space="preserve"> PPI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治疗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□黏膜保护剂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临时医嘱：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□利多卡因胶浆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□术前半小时静点一次抗生素（必要时）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□心电监护（必要时）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□术后静点抗生素（必要时）</w:t>
            </w:r>
          </w:p>
        </w:tc>
      </w:tr>
      <w:tr w:rsidR="0024142A" w:rsidRPr="003A267C" w:rsidTr="00B66060">
        <w:trPr>
          <w:cantSplit/>
          <w:trHeight w:val="1134"/>
          <w:jc w:val="center"/>
        </w:trPr>
        <w:tc>
          <w:tcPr>
            <w:tcW w:w="81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主要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护理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工作</w:t>
            </w:r>
          </w:p>
        </w:tc>
        <w:tc>
          <w:tcPr>
            <w:tcW w:w="2835" w:type="dxa"/>
          </w:tcPr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□协助患者及家属办理入院手续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□进行入院宣教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□准备静脉抽血检查</w:t>
            </w:r>
          </w:p>
        </w:tc>
        <w:tc>
          <w:tcPr>
            <w:tcW w:w="2858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□基本生活和心理护理</w:t>
            </w:r>
          </w:p>
          <w:p w:rsidR="0024142A" w:rsidRPr="003A267C" w:rsidRDefault="0024142A" w:rsidP="0024142A">
            <w:pPr>
              <w:autoSpaceDE/>
              <w:autoSpaceDN/>
              <w:adjustRightInd/>
              <w:spacing w:line="280" w:lineRule="exact"/>
              <w:ind w:left="220" w:hangingChars="105" w:hanging="220"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□进行关于胃镜检查宣教</w:t>
            </w:r>
          </w:p>
        </w:tc>
        <w:tc>
          <w:tcPr>
            <w:tcW w:w="2861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□基本生活和心理护理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□胃息肉电切术后常规护理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□胃息肉电切术后饮食生活宣教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□并发症观察</w:t>
            </w:r>
          </w:p>
        </w:tc>
      </w:tr>
      <w:tr w:rsidR="0024142A" w:rsidRPr="003A267C" w:rsidTr="00B66060">
        <w:trPr>
          <w:jc w:val="center"/>
        </w:trPr>
        <w:tc>
          <w:tcPr>
            <w:tcW w:w="81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病情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变异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记录</w:t>
            </w:r>
          </w:p>
        </w:tc>
        <w:tc>
          <w:tcPr>
            <w:tcW w:w="2835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□无□有，原因：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1.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2858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□无□有，原因：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1.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2861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□无□有，原因：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1.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2.</w:t>
            </w:r>
          </w:p>
        </w:tc>
      </w:tr>
      <w:tr w:rsidR="0024142A" w:rsidRPr="003A267C" w:rsidTr="00B66060">
        <w:trPr>
          <w:trHeight w:val="640"/>
          <w:jc w:val="center"/>
        </w:trPr>
        <w:tc>
          <w:tcPr>
            <w:tcW w:w="81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护士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签名</w:t>
            </w:r>
          </w:p>
        </w:tc>
        <w:tc>
          <w:tcPr>
            <w:tcW w:w="2835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58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1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  <w:tr w:rsidR="0024142A" w:rsidRPr="003A267C" w:rsidTr="00B66060">
        <w:trPr>
          <w:trHeight w:val="640"/>
          <w:jc w:val="center"/>
        </w:trPr>
        <w:tc>
          <w:tcPr>
            <w:tcW w:w="81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医师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签名</w:t>
            </w:r>
          </w:p>
        </w:tc>
        <w:tc>
          <w:tcPr>
            <w:tcW w:w="2835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58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61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</w:tbl>
    <w:p w:rsidR="0024142A" w:rsidRDefault="0024142A">
      <w:pPr>
        <w:rPr>
          <w:rFonts w:ascii="Times New Roman" w:hAnsi="Times New Roman" w:cs="Times New Roman"/>
          <w:color w:val="auto"/>
        </w:rPr>
      </w:pPr>
    </w:p>
    <w:p w:rsidR="0024142A" w:rsidRPr="003A267C" w:rsidRDefault="002414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766"/>
        <w:gridCol w:w="3280"/>
      </w:tblGrid>
      <w:tr w:rsidR="0024142A" w:rsidRPr="003A267C" w:rsidTr="00AA6BE3">
        <w:trPr>
          <w:jc w:val="center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24142A">
            <w:pPr>
              <w:autoSpaceDE/>
              <w:autoSpaceDN/>
              <w:adjustRightInd/>
              <w:ind w:firstLineChars="50" w:firstLine="105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br w:type="page"/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日期</w:t>
            </w: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住院第</w:t>
            </w: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t>4</w:t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天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住院第</w:t>
            </w:r>
            <w:r w:rsidRPr="008A5F0D">
              <w:rPr>
                <w:rFonts w:ascii="黑体" w:eastAsia="黑体" w:hAnsi="黑体" w:cs="Times New Roman"/>
                <w:kern w:val="2"/>
                <w:sz w:val="21"/>
                <w:szCs w:val="21"/>
              </w:rPr>
              <w:t>5–7</w:t>
            </w: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天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u w:val="single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（出院日）</w:t>
            </w:r>
          </w:p>
        </w:tc>
      </w:tr>
      <w:tr w:rsidR="0024142A" w:rsidRPr="003A267C" w:rsidTr="00AA6BE3">
        <w:trPr>
          <w:trHeight w:val="3244"/>
          <w:jc w:val="center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主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要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诊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疗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工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u w:val="single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作</w:t>
            </w:r>
          </w:p>
        </w:tc>
        <w:tc>
          <w:tcPr>
            <w:tcW w:w="2766" w:type="dxa"/>
            <w:tcBorders>
              <w:top w:val="double" w:sz="4" w:space="0" w:color="auto"/>
            </w:tcBorders>
          </w:tcPr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□观察患者生命体征、腹部症状和体征，观察大便性状，注意有无消化道出血、感染及穿孔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□上级医师查房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□完成病程记录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280" w:type="dxa"/>
            <w:tcBorders>
              <w:top w:val="double" w:sz="4" w:space="0" w:color="auto"/>
            </w:tcBorders>
          </w:tcPr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□继续观察患者腹部症状和体征，注意观察有无并发症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如果患者可以出院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□通知出院处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□通知患者及家属今日出院</w:t>
            </w:r>
          </w:p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□向患者及家属交代出院后注意事项，不适及时就诊</w:t>
            </w:r>
          </w:p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□饮食宣教，预约复诊时间，随诊胃息肉病理报告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□将出院记录的副本交给患者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□准备出院带药及出院证明</w:t>
            </w:r>
          </w:p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 w:hint="eastAsia"/>
                <w:spacing w:val="-6"/>
                <w:kern w:val="2"/>
                <w:sz w:val="21"/>
                <w:szCs w:val="21"/>
              </w:rPr>
              <w:t>如果患者不能出院，在病程记录中说明原因和继续治疗的方案</w:t>
            </w:r>
          </w:p>
        </w:tc>
      </w:tr>
      <w:tr w:rsidR="0024142A" w:rsidRPr="003A267C" w:rsidTr="00AA6BE3">
        <w:trPr>
          <w:trHeight w:val="3843"/>
          <w:jc w:val="center"/>
        </w:trPr>
        <w:tc>
          <w:tcPr>
            <w:tcW w:w="85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重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点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医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嘱</w:t>
            </w:r>
          </w:p>
        </w:tc>
        <w:tc>
          <w:tcPr>
            <w:tcW w:w="2766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长期医嘱：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□消化内科护理常规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□一级护理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□半流食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 xml:space="preserve"> PPI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治疗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□黏膜保护剂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临时医嘱：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□复查血常规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□大便常规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□抗生素（必要时）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280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长期医嘱：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□消化内科护理常规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□二级护理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□少渣饮食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</w:t>
            </w: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 xml:space="preserve"> PPI</w:t>
            </w: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治疗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□黏膜保护剂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临时医嘱：</w:t>
            </w:r>
          </w:p>
          <w:p w:rsidR="0024142A" w:rsidRPr="003A267C" w:rsidRDefault="0024142A" w:rsidP="0024142A">
            <w:pPr>
              <w:autoSpaceDE/>
              <w:autoSpaceDN/>
              <w:adjustRightInd/>
              <w:ind w:left="220" w:hangingChars="105" w:hanging="220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□出院带药</w:t>
            </w:r>
          </w:p>
        </w:tc>
      </w:tr>
      <w:tr w:rsidR="0024142A" w:rsidRPr="003A267C" w:rsidTr="00AA6BE3">
        <w:trPr>
          <w:cantSplit/>
          <w:trHeight w:val="1064"/>
          <w:jc w:val="center"/>
        </w:trPr>
        <w:tc>
          <w:tcPr>
            <w:tcW w:w="85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主要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护理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工作</w:t>
            </w:r>
          </w:p>
        </w:tc>
        <w:tc>
          <w:tcPr>
            <w:tcW w:w="2766" w:type="dxa"/>
          </w:tcPr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□基本生活和心理护理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□胃息肉电切术后常规护理</w:t>
            </w:r>
          </w:p>
          <w:p w:rsidR="0024142A" w:rsidRPr="003A267C" w:rsidRDefault="0024142A" w:rsidP="003A267C">
            <w:pPr>
              <w:autoSpaceDE/>
              <w:autoSpaceDN/>
              <w:adjustRightInd/>
              <w:spacing w:line="280" w:lineRule="exact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□胃息肉电切术后饮食生活宣教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□并发症观察</w:t>
            </w:r>
          </w:p>
        </w:tc>
        <w:tc>
          <w:tcPr>
            <w:tcW w:w="3280" w:type="dxa"/>
          </w:tcPr>
          <w:p w:rsidR="0024142A" w:rsidRPr="003A267C" w:rsidRDefault="0024142A" w:rsidP="0024142A">
            <w:pPr>
              <w:autoSpaceDE/>
              <w:autoSpaceDN/>
              <w:adjustRightInd/>
              <w:ind w:left="315" w:hangingChars="150" w:hanging="315"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□帮助患者办理出院手续、交费等事宜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□出院指导</w:t>
            </w:r>
          </w:p>
        </w:tc>
      </w:tr>
      <w:tr w:rsidR="0024142A" w:rsidRPr="003A267C" w:rsidTr="00AA6BE3">
        <w:trPr>
          <w:jc w:val="center"/>
        </w:trPr>
        <w:tc>
          <w:tcPr>
            <w:tcW w:w="85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病情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变异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记录</w:t>
            </w:r>
          </w:p>
        </w:tc>
        <w:tc>
          <w:tcPr>
            <w:tcW w:w="2766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□无□有，原因：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1.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280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 w:hint="eastAsia"/>
                <w:kern w:val="2"/>
                <w:sz w:val="21"/>
                <w:szCs w:val="21"/>
              </w:rPr>
              <w:t>□无□有，原因：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1.</w:t>
            </w:r>
          </w:p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  <w:u w:val="single"/>
              </w:rPr>
            </w:pPr>
            <w:r w:rsidRPr="003A267C">
              <w:rPr>
                <w:rFonts w:ascii="宋体" w:hAnsi="宋体" w:cs="Times New Roman"/>
                <w:kern w:val="2"/>
                <w:sz w:val="21"/>
                <w:szCs w:val="21"/>
              </w:rPr>
              <w:t>2.</w:t>
            </w:r>
          </w:p>
        </w:tc>
      </w:tr>
      <w:tr w:rsidR="0024142A" w:rsidRPr="003A267C" w:rsidTr="00AA6BE3">
        <w:trPr>
          <w:trHeight w:val="645"/>
          <w:jc w:val="center"/>
        </w:trPr>
        <w:tc>
          <w:tcPr>
            <w:tcW w:w="85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护士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签字</w:t>
            </w:r>
          </w:p>
        </w:tc>
        <w:tc>
          <w:tcPr>
            <w:tcW w:w="2766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280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  <w:tr w:rsidR="0024142A" w:rsidRPr="003A267C" w:rsidTr="00AA6BE3">
        <w:trPr>
          <w:trHeight w:val="645"/>
          <w:jc w:val="center"/>
        </w:trPr>
        <w:tc>
          <w:tcPr>
            <w:tcW w:w="850" w:type="dxa"/>
            <w:vAlign w:val="center"/>
          </w:tcPr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医师</w:t>
            </w:r>
          </w:p>
          <w:p w:rsidR="0024142A" w:rsidRPr="008A5F0D" w:rsidRDefault="0024142A" w:rsidP="003A267C">
            <w:pPr>
              <w:autoSpaceDE/>
              <w:autoSpaceDN/>
              <w:adjustRightInd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</w:rPr>
            </w:pPr>
            <w:r w:rsidRPr="008A5F0D"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签字</w:t>
            </w:r>
          </w:p>
        </w:tc>
        <w:tc>
          <w:tcPr>
            <w:tcW w:w="2766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280" w:type="dxa"/>
          </w:tcPr>
          <w:p w:rsidR="0024142A" w:rsidRPr="003A267C" w:rsidRDefault="0024142A" w:rsidP="003A267C">
            <w:pPr>
              <w:autoSpaceDE/>
              <w:autoSpaceDN/>
              <w:adjustRightInd/>
              <w:jc w:val="both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</w:tbl>
    <w:p w:rsidR="0024142A" w:rsidRPr="003A267C" w:rsidRDefault="0024142A">
      <w:pPr>
        <w:rPr>
          <w:rFonts w:ascii="Times New Roman" w:hAnsi="Times New Roman" w:cs="Times New Roman"/>
          <w:color w:val="auto"/>
        </w:rPr>
      </w:pPr>
    </w:p>
    <w:sectPr w:rsidR="0024142A" w:rsidRPr="003A267C" w:rsidSect="00156772">
      <w:pgSz w:w="11905" w:h="16837"/>
      <w:pgMar w:top="1400" w:right="1120" w:bottom="1200" w:left="11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0E" w:rsidRDefault="00B6330E" w:rsidP="00DA3690">
      <w:r>
        <w:separator/>
      </w:r>
    </w:p>
  </w:endnote>
  <w:endnote w:type="continuationSeparator" w:id="0">
    <w:p w:rsidR="00B6330E" w:rsidRDefault="00B6330E" w:rsidP="00D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0E" w:rsidRDefault="00B6330E" w:rsidP="00DA3690">
      <w:r>
        <w:separator/>
      </w:r>
    </w:p>
  </w:footnote>
  <w:footnote w:type="continuationSeparator" w:id="0">
    <w:p w:rsidR="00B6330E" w:rsidRDefault="00B6330E" w:rsidP="00DA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2195"/>
    <w:rsid w:val="00021C71"/>
    <w:rsid w:val="0006594A"/>
    <w:rsid w:val="0006762F"/>
    <w:rsid w:val="00153DE8"/>
    <w:rsid w:val="00156772"/>
    <w:rsid w:val="00161916"/>
    <w:rsid w:val="0016231D"/>
    <w:rsid w:val="001842DD"/>
    <w:rsid w:val="001D33F9"/>
    <w:rsid w:val="0024142A"/>
    <w:rsid w:val="002E0D3A"/>
    <w:rsid w:val="002E25D3"/>
    <w:rsid w:val="0039600B"/>
    <w:rsid w:val="003A267C"/>
    <w:rsid w:val="004C2FD9"/>
    <w:rsid w:val="00500BD4"/>
    <w:rsid w:val="0051495C"/>
    <w:rsid w:val="005323C9"/>
    <w:rsid w:val="00563229"/>
    <w:rsid w:val="00565905"/>
    <w:rsid w:val="005C3078"/>
    <w:rsid w:val="00747C1A"/>
    <w:rsid w:val="007B2117"/>
    <w:rsid w:val="007D68C8"/>
    <w:rsid w:val="007F1A1C"/>
    <w:rsid w:val="008A5F0D"/>
    <w:rsid w:val="008F6944"/>
    <w:rsid w:val="009C3388"/>
    <w:rsid w:val="00A500E3"/>
    <w:rsid w:val="00A65786"/>
    <w:rsid w:val="00AA6BE3"/>
    <w:rsid w:val="00AB0B90"/>
    <w:rsid w:val="00B6330E"/>
    <w:rsid w:val="00B66060"/>
    <w:rsid w:val="00C30638"/>
    <w:rsid w:val="00DA3690"/>
    <w:rsid w:val="00E60E69"/>
    <w:rsid w:val="00ED397C"/>
    <w:rsid w:val="00EF2195"/>
    <w:rsid w:val="00FC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BD742BA-E375-4D5E-BD33-4A09EFB8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56772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56772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156772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56772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156772"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156772"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DA3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A3690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A36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A3690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2E25D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link w:val="a5"/>
    <w:rsid w:val="002E25D3"/>
    <w:rPr>
      <w:rFonts w:ascii="Cambria" w:hAnsi="Cambria" w:cs="Times New Roman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yp\&#32963;&#24687;&#32905;&#30005;&#20999;&#26415;&#20020;&#24202;&#36335;&#24452;&#65288;2016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胃息肉电切术临床路径（2016）.dot</Template>
  <TotalTime>10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任建林</dc:creator>
  <cp:keywords/>
  <dc:description/>
  <cp:lastModifiedBy>刘立煌</cp:lastModifiedBy>
  <cp:revision>10</cp:revision>
  <dcterms:created xsi:type="dcterms:W3CDTF">2016-11-06T10:23:00Z</dcterms:created>
  <dcterms:modified xsi:type="dcterms:W3CDTF">2016-11-28T07:06:00Z</dcterms:modified>
</cp:coreProperties>
</file>