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7" w:rsidRPr="002E40B3" w:rsidRDefault="000700E7">
      <w:pPr>
        <w:adjustRightInd w:val="0"/>
        <w:snapToGrid w:val="0"/>
        <w:jc w:val="center"/>
        <w:outlineLvl w:val="0"/>
        <w:rPr>
          <w:rFonts w:ascii="宋体" w:hAnsi="宋体"/>
          <w:b/>
          <w:color w:val="000000"/>
          <w:sz w:val="44"/>
          <w:szCs w:val="44"/>
          <w:lang w:val="en-GB"/>
        </w:rPr>
      </w:pPr>
      <w:r w:rsidRPr="002E40B3">
        <w:rPr>
          <w:rFonts w:ascii="宋体" w:hAnsi="宋体" w:hint="eastAsia"/>
          <w:b/>
          <w:color w:val="000000"/>
          <w:sz w:val="44"/>
          <w:szCs w:val="44"/>
          <w:lang w:val="en-GB"/>
        </w:rPr>
        <w:t>肝硬化并发肝性脑病临床路径</w:t>
      </w:r>
    </w:p>
    <w:p w:rsidR="000700E7" w:rsidRPr="00F50D6A" w:rsidRDefault="000700E7" w:rsidP="009D58AF">
      <w:pPr>
        <w:adjustRightInd w:val="0"/>
        <w:snapToGrid w:val="0"/>
        <w:spacing w:beforeLines="50"/>
        <w:jc w:val="center"/>
        <w:outlineLvl w:val="0"/>
        <w:rPr>
          <w:rFonts w:ascii="仿宋_GB2312" w:eastAsia="仿宋_GB2312" w:hAnsi="楷体_GB2312"/>
          <w:bCs/>
          <w:sz w:val="32"/>
          <w:szCs w:val="32"/>
        </w:rPr>
      </w:pPr>
      <w:r w:rsidRPr="00F50D6A">
        <w:rPr>
          <w:rFonts w:ascii="仿宋_GB2312" w:eastAsia="仿宋_GB2312" w:hAnsi="楷体_GB2312" w:hint="eastAsia"/>
          <w:bCs/>
          <w:sz w:val="32"/>
          <w:szCs w:val="32"/>
        </w:rPr>
        <w:t>（2016</w:t>
      </w:r>
      <w:r w:rsidR="00F50D6A" w:rsidRPr="00F50D6A">
        <w:rPr>
          <w:rFonts w:ascii="仿宋_GB2312" w:eastAsia="仿宋_GB2312" w:hAnsi="楷体_GB2312" w:hint="eastAsia"/>
          <w:bCs/>
          <w:sz w:val="32"/>
          <w:szCs w:val="32"/>
        </w:rPr>
        <w:t>年</w:t>
      </w:r>
      <w:r w:rsidR="002E40B3">
        <w:rPr>
          <w:rFonts w:ascii="仿宋_GB2312" w:eastAsia="仿宋_GB2312" w:hAnsi="楷体_GB2312" w:hint="eastAsia"/>
          <w:bCs/>
          <w:sz w:val="32"/>
          <w:szCs w:val="32"/>
        </w:rPr>
        <w:t>县</w:t>
      </w:r>
      <w:r w:rsidR="003F3F6A">
        <w:rPr>
          <w:rFonts w:ascii="仿宋_GB2312" w:eastAsia="仿宋_GB2312" w:hAnsi="楷体_GB2312" w:hint="eastAsia"/>
          <w:bCs/>
          <w:sz w:val="32"/>
          <w:szCs w:val="32"/>
        </w:rPr>
        <w:t>级</w:t>
      </w:r>
      <w:r w:rsidRPr="00F50D6A">
        <w:rPr>
          <w:rFonts w:ascii="仿宋_GB2312" w:eastAsia="仿宋_GB2312" w:hAnsi="楷体_GB2312" w:hint="eastAsia"/>
          <w:bCs/>
          <w:sz w:val="32"/>
          <w:szCs w:val="32"/>
        </w:rPr>
        <w:t>医院版</w:t>
      </w:r>
      <w:r w:rsidR="00F50D6A" w:rsidRPr="002E40B3">
        <w:rPr>
          <w:rFonts w:ascii="仿宋_GB2312" w:eastAsia="仿宋_GB2312" w:hAnsi="宋体" w:hint="eastAsia"/>
          <w:bCs/>
          <w:sz w:val="32"/>
          <w:szCs w:val="32"/>
        </w:rPr>
        <w:t>）</w:t>
      </w:r>
    </w:p>
    <w:p w:rsidR="000700E7" w:rsidRDefault="000700E7">
      <w:pPr>
        <w:jc w:val="center"/>
        <w:rPr>
          <w:rFonts w:ascii="宋体"/>
          <w:sz w:val="32"/>
          <w:szCs w:val="32"/>
          <w:u w:val="single"/>
        </w:rPr>
      </w:pPr>
      <w:bookmarkStart w:id="0" w:name="_GoBack"/>
      <w:bookmarkEnd w:id="0"/>
    </w:p>
    <w:p w:rsidR="000700E7" w:rsidRDefault="000700E7" w:rsidP="005178A4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t>一、肝硬化并发肝性脑病临床路径标准住院流程</w:t>
      </w:r>
    </w:p>
    <w:p w:rsidR="000700E7" w:rsidRDefault="000700E7" w:rsidP="005178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0700E7" w:rsidRPr="00F50D6A" w:rsidRDefault="000700E7" w:rsidP="005178A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第一诊断为肝硬化并发肝性脑病（ICD-10：K72.903伴K74.1-K74.6/K70.301/K71.701/K76.102/P78.8/A52.7↑K77.0*）。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根据《实用内科学》（陈灏珠主编，人民卫生出版社，2005年，第十二版），2013版《中国肝性脑病诊治共识意见》（中华医学会消化病学分会、中华医学会肝病分会）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1.有肝硬化和（或）广泛门-体分流病史。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2.出现神经精神症状及体征。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3.或虽无神经精神症状及体征，但神经心理智能测试NCT-A、DST两项阳性，是诊断轻微肝性脑病（MHE）的依据。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4.可有引起肝性脑病的诱因，并常伴有血氨等辅助检查异常。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5.排除引起神经精神症状的其他原因，如精神疾病、中毒性脑病、其他代谢性脑病、颅内病变等。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6.根据基础疾病，可将肝性脑病分为A、B、C三型。其中Ａ型为急性肝衰竭相关肝性脑病；Ｂ型为门静脉-体循环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分流相关肝性脑病，无肝细胞损伤相关肝病；Ｃ型为肝硬化相关肝性脑病，伴门静脉高压或门静脉-体循环分流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7.可采用West-Haven分类法对肝性脑病严重程度进行分级。</w:t>
      </w:r>
    </w:p>
    <w:p w:rsidR="000700E7" w:rsidRPr="00F50D6A" w:rsidRDefault="000700E7" w:rsidP="009D58A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（三）治疗方案的选择。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根据《实用内科学》（陈灏珠主编，人民卫生出版社，2005年，第十二版），2013版《中国肝性脑病诊治共识意见》（中华医学会消化病学分会、中华医学会肝病分会）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治疗原则：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1.寻找和去除诱因。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2.减少来自肠道有害物质如氨等的产生和吸收。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3.适当的营养支持及维持水电解质平衡；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4.根据临床类型、不同诱因和疾病的严重程度制订个体化的治疗方案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 xml:space="preserve">    5.基础疾病的治疗。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（四）标准住院日为</w:t>
      </w:r>
      <w:r w:rsidRPr="00F50D6A">
        <w:rPr>
          <w:rFonts w:ascii="楷体_GB2312" w:eastAsia="楷体_GB2312"/>
          <w:b/>
          <w:color w:val="000000"/>
          <w:sz w:val="32"/>
          <w:szCs w:val="32"/>
          <w:lang w:val="en-GB"/>
        </w:rPr>
        <w:t>13</w:t>
      </w:r>
      <w:r w:rsidRPr="00F50D6A">
        <w:rPr>
          <w:rFonts w:ascii="楷体_GB2312" w:eastAsia="楷体_GB2312"/>
          <w:b/>
          <w:color w:val="000000"/>
          <w:sz w:val="32"/>
          <w:szCs w:val="32"/>
          <w:lang w:val="en-GB"/>
        </w:rPr>
        <w:t>–</w:t>
      </w:r>
      <w:r w:rsidRPr="00F50D6A">
        <w:rPr>
          <w:rFonts w:ascii="楷体_GB2312" w:eastAsia="楷体_GB2312"/>
          <w:b/>
          <w:color w:val="000000"/>
          <w:sz w:val="32"/>
          <w:szCs w:val="32"/>
          <w:lang w:val="en-GB"/>
        </w:rPr>
        <w:t>14</w:t>
      </w: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日。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（五）进入路径标准。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1.第一诊断必须符合ICD-10：K72.903伴K74.1-K74.6/K70.301/K71.701/K76.102/P78.8/A52.7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↑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K77.0*肝硬化并发肝性脑病疾病编码。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2.符合需要住院的指征：临床分期为有临床症状的显性肝性脑病（即</w:t>
      </w:r>
      <w:r w:rsidRPr="00F50D6A">
        <w:rPr>
          <w:rFonts w:ascii="仿宋_GB2312" w:eastAsia="仿宋_GB2312" w:hint="eastAsia"/>
          <w:color w:val="000000"/>
          <w:sz w:val="32"/>
          <w:szCs w:val="32"/>
          <w:lang w:val="en-GB"/>
        </w:rPr>
        <w:t>Ⅱ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–</w:t>
      </w:r>
      <w:r w:rsidRPr="00F50D6A">
        <w:rPr>
          <w:rFonts w:ascii="仿宋_GB2312" w:eastAsia="仿宋_GB2312" w:hint="eastAsia"/>
          <w:color w:val="000000"/>
          <w:sz w:val="32"/>
          <w:szCs w:val="32"/>
          <w:lang w:val="en-GB"/>
        </w:rPr>
        <w:t>Ⅳ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 xml:space="preserve">期）。 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3.当患者同时具有其他疾病诊断，但在住院期间不需要特殊处理，也不影响第一诊断的临床路径流程实施时，可以进入路径。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（六）住院期间检查项目。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1.必需的检查项目：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（1）血常规、尿常规、大便常规+潜血；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（2）肝肾功能、电解质、血糖、凝血功能、血氨、血气分析；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（3）胸片、心电图、腹部B超。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2.根据患者情况可选择：头颅和腹部CT、MRI、脑电图和诱发电位。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3.疑有颅内感染者可选择：脑脊液检查。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（七）治疗方案与药物选择。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1.寻找和去除诱因：根据不同诱因，可采取针对不同诱因的各种措施，包括积极止血、清除肠道积血、积极控制感染、纠正水电解质紊乱、消除便秘、改善肾功能、禁用镇静剂、避免大量利尿和放腹水等。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2.对症及营养支持治疗。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（1）根据患者的意识情况，采取通过经口、鼻饲或静脉营养。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（2）对肝性脑病1级和2级患者，蛋白质起始摄入量为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F50D6A">
          <w:rPr>
            <w:rFonts w:ascii="仿宋_GB2312" w:eastAsia="仿宋_GB2312"/>
            <w:color w:val="000000"/>
            <w:sz w:val="32"/>
            <w:szCs w:val="32"/>
            <w:lang w:val="en-GB"/>
          </w:rPr>
          <w:t>0.5g</w:t>
        </w:r>
      </w:smartTag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/（kg</w:t>
      </w:r>
      <w:r w:rsidRPr="00F50D6A">
        <w:rPr>
          <w:rFonts w:ascii="微软雅黑" w:eastAsia="微软雅黑" w:hAnsi="微软雅黑" w:cs="微软雅黑" w:hint="eastAsia"/>
          <w:color w:val="000000"/>
          <w:sz w:val="32"/>
          <w:szCs w:val="32"/>
          <w:lang w:val="en-GB"/>
        </w:rPr>
        <w:t>﹒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d），逐步增加到1.0～1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F50D6A">
          <w:rPr>
            <w:rFonts w:ascii="仿宋_GB2312" w:eastAsia="仿宋_GB2312"/>
            <w:color w:val="000000"/>
            <w:sz w:val="32"/>
            <w:szCs w:val="32"/>
            <w:lang w:val="en-GB"/>
          </w:rPr>
          <w:t>.5g</w:t>
        </w:r>
      </w:smartTag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/（kg</w:t>
      </w:r>
      <w:r w:rsidRPr="00F50D6A">
        <w:rPr>
          <w:rFonts w:ascii="微软雅黑" w:eastAsia="微软雅黑" w:hAnsi="微软雅黑" w:cs="微软雅黑" w:hint="eastAsia"/>
          <w:color w:val="000000"/>
          <w:sz w:val="32"/>
          <w:szCs w:val="32"/>
          <w:lang w:val="en-GB"/>
        </w:rPr>
        <w:t>﹒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d）。若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对动物蛋白质不耐受，可补充口服支链氨基酸和植物蛋白质。对肝性脑病3级和4级患者，蛋白质摄入量为0.5～1</w:t>
      </w:r>
      <w:smartTag w:uri="urn:schemas-microsoft-com:office:smarttags" w:element="chmetcnv">
        <w:smartTagPr>
          <w:attr w:name="UnitName" w:val="g"/>
          <w:attr w:name="SourceValue" w:val=".2"/>
          <w:attr w:name="HasSpace" w:val="False"/>
          <w:attr w:name="Negative" w:val="False"/>
          <w:attr w:name="NumberType" w:val="1"/>
          <w:attr w:name="TCSC" w:val="0"/>
        </w:smartTagPr>
        <w:r w:rsidRPr="00F50D6A">
          <w:rPr>
            <w:rFonts w:ascii="仿宋_GB2312" w:eastAsia="仿宋_GB2312"/>
            <w:color w:val="000000"/>
            <w:sz w:val="32"/>
            <w:szCs w:val="32"/>
            <w:lang w:val="en-GB"/>
          </w:rPr>
          <w:t>.2g</w:t>
        </w:r>
      </w:smartTag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/（kg</w:t>
      </w:r>
      <w:r w:rsidRPr="00F50D6A">
        <w:rPr>
          <w:rFonts w:ascii="微软雅黑" w:eastAsia="微软雅黑" w:hAnsi="微软雅黑" w:cs="微软雅黑" w:hint="eastAsia"/>
          <w:color w:val="000000"/>
          <w:sz w:val="32"/>
          <w:szCs w:val="32"/>
          <w:lang w:val="en-GB"/>
        </w:rPr>
        <w:t>﹒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d）。肝性脑病患者非蛋白质能量摄入量为104.6～146.4kJ/（kg</w:t>
      </w:r>
      <w:r w:rsidRPr="00F50D6A">
        <w:rPr>
          <w:rFonts w:ascii="微软雅黑" w:eastAsia="微软雅黑" w:hAnsi="微软雅黑" w:cs="微软雅黑" w:hint="eastAsia"/>
          <w:color w:val="000000"/>
          <w:sz w:val="32"/>
          <w:szCs w:val="32"/>
          <w:lang w:val="en-GB"/>
        </w:rPr>
        <w:t>﹒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d），首选肠内营养。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（3）其他对症支持治疗：包括维持水、电解质、酸碱平衡；有低蛋白血症者静脉输注血浆、白蛋白；有脑水肿者给予脱水治疗等。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3.针对发病机理采取措施：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（1）减少肠道内氨及其它有害物质的生成和吸收：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①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降低肠道pH：乳果糖是显性肝性脑病发作的首选治疗。乳果糖口服每次15-30ml，2-3次/天，以保证每日2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–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3次pH</w:t>
      </w:r>
      <w:r w:rsidRPr="00F50D6A">
        <w:rPr>
          <w:rFonts w:ascii="仿宋_GB2312" w:eastAsia="仿宋_GB2312" w:hint="eastAsia"/>
          <w:color w:val="000000"/>
          <w:sz w:val="32"/>
          <w:szCs w:val="32"/>
          <w:lang w:val="en-GB"/>
        </w:rPr>
        <w:t>＜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6</w:t>
      </w:r>
      <w:r w:rsidRPr="00F50D6A">
        <w:rPr>
          <w:rFonts w:ascii="仿宋_GB2312" w:eastAsia="仿宋_GB2312" w:hint="eastAsia"/>
          <w:color w:val="000000"/>
          <w:sz w:val="32"/>
          <w:szCs w:val="32"/>
          <w:lang w:val="en-GB"/>
        </w:rPr>
        <w:t>的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软便为宜；必要时，可保留灌肠给药。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②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 xml:space="preserve"> 拉克替醇与乳果糖疗效相当，初始剂量推荐为</w:t>
      </w:r>
      <w:smartTag w:uri="urn:schemas-microsoft-com:office:smarttags" w:element="chmetcnv">
        <w:smartTagPr>
          <w:attr w:name="UnitName" w:val="g"/>
          <w:attr w:name="SourceValue" w:val=".6"/>
          <w:attr w:name="HasSpace" w:val="False"/>
          <w:attr w:name="Negative" w:val="False"/>
          <w:attr w:name="NumberType" w:val="1"/>
          <w:attr w:name="TCSC" w:val="0"/>
        </w:smartTagPr>
        <w:r w:rsidRPr="00F50D6A">
          <w:rPr>
            <w:rFonts w:ascii="仿宋_GB2312" w:eastAsia="仿宋_GB2312"/>
            <w:color w:val="000000"/>
            <w:sz w:val="32"/>
            <w:szCs w:val="32"/>
            <w:lang w:val="en-GB"/>
          </w:rPr>
          <w:t>0.6g</w:t>
        </w:r>
      </w:smartTag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/kg，分3次就餐时服用，以保证每日2次软便为宜。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③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抑制肠道细菌生长：应用肠道益生菌制剂；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④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抗菌药物的应用：选择肠道不吸收的抗生素，如利福昔明、新霉素或甲硝唑。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（2）促进氨的代谢、拮抗假性神经递质、改善氨基酸平衡。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①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降血氨药物：包括门冬氨酸－鸟氨酸（严重肾功能不全患者，即血清肌酐&gt;3mg/dL时禁用）、精氨酸（高氯性酸中毒及肾功能不全患者禁用）等。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②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拮抗假性神经递质：如诱因为使用苯二氮卓类药物而导致肝性脑病昏迷者，可试用氟马西尼静脉注射；有椎体外系体征用其他方案治疗无效者可试用口服溴隐亭。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③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改善氨基酸平衡：口服或静脉输注支链氨基酸。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4.基础疾病的治疗：包括针对肝硬化病因和改善肝功能等的其他治疗。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（八）出院标准。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1.诱因去除、神经精神症状及体征消失。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2.停止静脉输液，至少3天。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（九）显性肝性脑病复发的预防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在一次显性肝性脑病发作后，推荐进行二级预防。除非已知肝硬化患者具有发生肝性脑病的高风险，否则不需要对显性肝性脑病发作进行一级预防。反复发作的难治性显性肝性脑病伴有肝衰竭，是进行肝移植的指征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推荐乳果糖用于肝性脑病首次发作后复发的预防，推荐利福昔明作为乳果糖的一种添加药物，用于肝性脑病再次发作后复发的预防。不推荐常规预防性治疗（乳果糖或利福昔明）用于经颈静脉肝内门体分流术后肝性脑病的预防。在诱发因素（感染和静脉曲张出血）已经得到良好控制，或者肝功能或营养状况得到改善的情况下，可停止预防性治疗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F50D6A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（十）变异及原因分析。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1.经治疗后，神经精神症状及体征消失，但仍有大量腹</w:t>
      </w: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水或食管胃底静脉曲张合并出血，则退出该路径，进入相应的临床路径。</w:t>
      </w:r>
    </w:p>
    <w:p w:rsidR="000700E7" w:rsidRPr="00F50D6A" w:rsidRDefault="000700E7" w:rsidP="00F50D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F50D6A">
        <w:rPr>
          <w:rFonts w:ascii="仿宋_GB2312" w:eastAsia="仿宋_GB2312"/>
          <w:color w:val="000000"/>
          <w:sz w:val="32"/>
          <w:szCs w:val="32"/>
          <w:lang w:val="en-GB"/>
        </w:rPr>
        <w:t>2.经治疗后，神经精神症状及体征无改善，且肝细胞功能严重障碍或进行性恶化时，则退出该路径，进入相应的临床路径。</w:t>
      </w:r>
    </w:p>
    <w:p w:rsidR="000700E7" w:rsidRDefault="000700E7" w:rsidP="005178A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??_GB2312" w:eastAsia="Times New Roman"/>
          <w:color w:val="000000"/>
          <w:sz w:val="32"/>
          <w:szCs w:val="32"/>
          <w:lang w:val="en-GB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二、肝硬化并发肝性脑病</w:t>
      </w:r>
      <w:r>
        <w:rPr>
          <w:rFonts w:ascii="黑体" w:eastAsia="黑体" w:hAnsi="宋体" w:hint="eastAsia"/>
          <w:sz w:val="32"/>
          <w:szCs w:val="32"/>
        </w:rPr>
        <w:t>临床路径表单</w:t>
      </w:r>
    </w:p>
    <w:p w:rsidR="000700E7" w:rsidRDefault="000700E7" w:rsidP="005178A4">
      <w:pPr>
        <w:wordWrap w:val="0"/>
        <w:snapToGrid w:val="0"/>
        <w:ind w:left="1050" w:hangingChars="500" w:hanging="105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szCs w:val="21"/>
        </w:rPr>
        <w:t>第一诊断为</w:t>
      </w:r>
      <w:r>
        <w:rPr>
          <w:rFonts w:ascii="宋体" w:hAnsi="宋体" w:hint="eastAsia"/>
          <w:szCs w:val="21"/>
        </w:rPr>
        <w:t>肝硬化并发肝性脑病（</w:t>
      </w:r>
      <w:r>
        <w:rPr>
          <w:rFonts w:ascii="宋体" w:hAnsi="宋体"/>
          <w:szCs w:val="21"/>
        </w:rPr>
        <w:t>ICD-10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K72.903</w:t>
      </w:r>
      <w:r>
        <w:rPr>
          <w:rFonts w:ascii="宋体" w:hAnsi="宋体" w:hint="eastAsia"/>
          <w:szCs w:val="21"/>
        </w:rPr>
        <w:t>伴</w:t>
      </w:r>
      <w:r>
        <w:rPr>
          <w:rFonts w:ascii="宋体" w:hAnsi="宋体"/>
          <w:szCs w:val="21"/>
        </w:rPr>
        <w:t>K74.1-K74.6/K70.301/K71.701/K76.102/P78.8/A52.7</w:t>
      </w:r>
      <w:r>
        <w:rPr>
          <w:rFonts w:ascii="宋体" w:hAnsi="宋体" w:hint="eastAsia"/>
          <w:szCs w:val="21"/>
        </w:rPr>
        <w:t>↑</w:t>
      </w:r>
      <w:r>
        <w:rPr>
          <w:rFonts w:ascii="宋体" w:hAnsi="宋体"/>
          <w:szCs w:val="21"/>
        </w:rPr>
        <w:t xml:space="preserve">K77.0* </w:t>
      </w:r>
      <w:r>
        <w:rPr>
          <w:rFonts w:ascii="宋体" w:hAnsi="宋体" w:hint="eastAsia"/>
          <w:szCs w:val="21"/>
        </w:rPr>
        <w:t>）</w:t>
      </w:r>
    </w:p>
    <w:p w:rsidR="00F50D6A" w:rsidRPr="004F39B5" w:rsidRDefault="00F50D6A" w:rsidP="002E75A2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患者姓名：性别：年龄</w:t>
      </w:r>
      <w:r w:rsidRPr="00C54BA4">
        <w:rPr>
          <w:rFonts w:ascii="宋体" w:hAnsi="宋体"/>
          <w:color w:val="000000"/>
          <w:szCs w:val="21"/>
          <w:lang w:val="en-GB"/>
        </w:rPr>
        <w:t>：</w:t>
      </w:r>
      <w:r w:rsidRPr="004F39B5">
        <w:rPr>
          <w:rFonts w:ascii="宋体" w:hAnsi="宋体"/>
          <w:color w:val="000000"/>
          <w:szCs w:val="21"/>
          <w:lang w:val="en-GB"/>
        </w:rPr>
        <w:t>门诊号： 住院号：</w:t>
      </w:r>
    </w:p>
    <w:p w:rsidR="00F50D6A" w:rsidRPr="004F39B5" w:rsidRDefault="00F50D6A" w:rsidP="00F50D6A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住院日期：年月日出院日期：年月日   标准住院日</w:t>
      </w:r>
      <w:r>
        <w:rPr>
          <w:rFonts w:ascii="宋体" w:hAnsi="宋体" w:hint="eastAsia"/>
          <w:color w:val="000000"/>
          <w:szCs w:val="21"/>
          <w:lang w:val="en-GB"/>
        </w:rPr>
        <w:t>：</w:t>
      </w:r>
      <w:r>
        <w:rPr>
          <w:rFonts w:ascii="宋体" w:hAnsi="宋体"/>
          <w:color w:val="000000"/>
          <w:szCs w:val="21"/>
          <w:lang w:val="en-GB"/>
        </w:rPr>
        <w:t>13</w:t>
      </w:r>
      <w:r>
        <w:rPr>
          <w:rFonts w:ascii="宋体" w:hAnsi="宋体" w:hint="eastAsia"/>
          <w:color w:val="000000"/>
          <w:szCs w:val="21"/>
          <w:lang w:val="en-GB"/>
        </w:rPr>
        <w:t>–</w:t>
      </w:r>
      <w:r>
        <w:rPr>
          <w:rFonts w:ascii="宋体" w:hAnsi="宋体"/>
          <w:color w:val="000000"/>
          <w:szCs w:val="21"/>
          <w:lang w:val="en-GB"/>
        </w:rPr>
        <w:t>14</w:t>
      </w:r>
      <w:r>
        <w:rPr>
          <w:rFonts w:ascii="宋体" w:hAnsi="宋体" w:hint="eastAsia"/>
          <w:color w:val="000000"/>
          <w:szCs w:val="21"/>
          <w:lang w:val="en-GB"/>
        </w:rPr>
        <w:t>日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8285"/>
      </w:tblGrid>
      <w:tr w:rsidR="000700E7">
        <w:trPr>
          <w:trHeight w:val="459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8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住院第</w:t>
            </w:r>
            <w:r w:rsidRPr="002E75A2">
              <w:rPr>
                <w:rFonts w:ascii="黑体" w:eastAsia="黑体" w:hAnsi="黑体"/>
                <w:szCs w:val="21"/>
              </w:rPr>
              <w:t xml:space="preserve">1–2 </w:t>
            </w:r>
            <w:r w:rsidRPr="002E75A2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0700E7">
        <w:trPr>
          <w:trHeight w:val="2142"/>
          <w:jc w:val="center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要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诊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疗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82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□询问病史及体格检查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□完成病历书写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□开化验单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□上级医师查房，</w:t>
            </w:r>
            <w:r>
              <w:rPr>
                <w:rFonts w:ascii="宋体" w:hAnsi="宋体" w:hint="eastAsia"/>
                <w:kern w:val="0"/>
                <w:szCs w:val="21"/>
              </w:rPr>
              <w:t>初步确定诊断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根据急查的辅助检查结果进一步确定诊断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确定发病诱因</w:t>
            </w:r>
            <w:r>
              <w:rPr>
                <w:rFonts w:ascii="宋体" w:hAnsi="宋体" w:hint="eastAsia"/>
                <w:szCs w:val="21"/>
              </w:rPr>
              <w:t>开始</w:t>
            </w:r>
            <w:r>
              <w:rPr>
                <w:rFonts w:ascii="宋体" w:hAnsi="宋体" w:hint="eastAsia"/>
                <w:kern w:val="0"/>
                <w:szCs w:val="21"/>
              </w:rPr>
              <w:t>治疗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□向患者家属告病重或病危通知，并签署病重或病危通知书（必要时）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□签署自费药品使用同意书</w:t>
            </w:r>
          </w:p>
        </w:tc>
      </w:tr>
      <w:tr w:rsidR="000700E7">
        <w:trPr>
          <w:trHeight w:val="689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重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点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□内科护理常规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□特级护理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□低蛋白饮食或禁食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□记</w:t>
            </w:r>
            <w:r>
              <w:rPr>
                <w:rFonts w:ascii="宋体" w:hAnsi="宋体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小时出入量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□记大便次数及量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□视病情通知病重或病危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□吸氧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□对症及支持治疗，纠正水、电解质、酸碱平衡紊乱等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□乳果糖口服或鼻饲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□利福昔明、新霉素或甲硝唑抑制肠道细菌（必要时）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□降血氨药物输注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□支链氨基酸静脉输注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□保肝药物</w:t>
            </w:r>
          </w:p>
          <w:p w:rsidR="000700E7" w:rsidRDefault="000700E7" w:rsidP="002E75A2"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临时医嘱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□血常规、尿常规、大便常规＋潜血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□肝肾功能、电解质、血糖、凝血功能、血氨、血气分析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□胸片、心电图、腹部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超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腹部、头颅</w:t>
            </w:r>
            <w:r>
              <w:rPr>
                <w:rFonts w:ascii="宋体" w:hAnsi="宋体"/>
                <w:color w:val="000000"/>
                <w:szCs w:val="21"/>
              </w:rPr>
              <w:t>CT</w:t>
            </w:r>
            <w:r>
              <w:rPr>
                <w:rFonts w:ascii="宋体" w:hAnsi="宋体" w:hint="eastAsia"/>
                <w:color w:val="000000"/>
                <w:szCs w:val="21"/>
              </w:rPr>
              <w:t>、脑电图（必要时）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脑脊液检查（必要时）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乳果糖灌肠（必要时，并可根据情况酌情调整剂量）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弱酸灌肠（必要时）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乳果糖</w:t>
            </w:r>
            <w:r>
              <w:rPr>
                <w:rFonts w:ascii="宋体" w:hAnsi="宋体"/>
                <w:color w:val="000000"/>
                <w:szCs w:val="21"/>
              </w:rPr>
              <w:t xml:space="preserve">45ml </w:t>
            </w:r>
            <w:r>
              <w:rPr>
                <w:rFonts w:ascii="宋体" w:hAnsi="宋体" w:hint="eastAsia"/>
                <w:color w:val="000000"/>
                <w:szCs w:val="21"/>
              </w:rPr>
              <w:t>口服或鼻饲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其他降氨治疗（鸟氨酸</w:t>
            </w:r>
            <w:r>
              <w:rPr>
                <w:rFonts w:ascii="宋体" w:hAnsi="宋体"/>
                <w:color w:val="000000"/>
                <w:szCs w:val="21"/>
              </w:rPr>
              <w:t>–</w:t>
            </w:r>
            <w:r>
              <w:rPr>
                <w:rFonts w:ascii="宋体" w:hAnsi="宋体" w:hint="eastAsia"/>
                <w:color w:val="000000"/>
                <w:szCs w:val="21"/>
              </w:rPr>
              <w:t>门冬氨酸，必要时）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深度昏迷、有脑水肿者给予脱水治疗（必要时）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其他医嘱：心脏监护等</w:t>
            </w:r>
          </w:p>
        </w:tc>
      </w:tr>
      <w:tr w:rsidR="000700E7">
        <w:trPr>
          <w:cantSplit/>
          <w:trHeight w:val="938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主要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护理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□介绍病房环境、设施和设备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□入院护理评估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□宣教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□做好饮食指导，且嘱其家属配合，严格遵医嘱进食</w:t>
            </w:r>
          </w:p>
        </w:tc>
      </w:tr>
      <w:tr w:rsidR="000700E7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病情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变异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0700E7">
        <w:trPr>
          <w:trHeight w:val="64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0700E7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</w:tbl>
    <w:p w:rsidR="000700E7" w:rsidRDefault="000700E7" w:rsidP="002E75A2">
      <w:pPr>
        <w:tabs>
          <w:tab w:val="left" w:pos="4673"/>
        </w:tabs>
        <w:spacing w:line="2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3592"/>
        <w:gridCol w:w="4929"/>
      </w:tblGrid>
      <w:tr w:rsidR="000700E7">
        <w:trPr>
          <w:cantSplit/>
          <w:trHeight w:val="523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3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住院第</w:t>
            </w:r>
            <w:r w:rsidRPr="002E75A2">
              <w:rPr>
                <w:rFonts w:ascii="黑体" w:eastAsia="黑体" w:hAnsi="黑体"/>
                <w:szCs w:val="21"/>
              </w:rPr>
              <w:t>2–3</w:t>
            </w:r>
            <w:r w:rsidRPr="002E75A2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住院第</w:t>
            </w:r>
            <w:r w:rsidRPr="002E75A2">
              <w:rPr>
                <w:rFonts w:ascii="黑体" w:eastAsia="黑体" w:hAnsi="黑体"/>
                <w:szCs w:val="21"/>
              </w:rPr>
              <w:t>4–10</w:t>
            </w:r>
            <w:r w:rsidRPr="002E75A2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0700E7">
        <w:trPr>
          <w:cantSplit/>
          <w:trHeight w:val="625"/>
          <w:jc w:val="center"/>
        </w:trPr>
        <w:tc>
          <w:tcPr>
            <w:tcW w:w="7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要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诊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疗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作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上级医师查房</w:t>
            </w:r>
          </w:p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完成入院检查</w:t>
            </w:r>
          </w:p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继续治疗</w:t>
            </w:r>
          </w:p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评价诱因是否去除</w:t>
            </w:r>
          </w:p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必要的相关科室会诊</w:t>
            </w:r>
          </w:p>
          <w:p w:rsidR="000700E7" w:rsidRDefault="000700E7" w:rsidP="002E75A2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完</w:t>
            </w:r>
            <w:smartTag w:uri="urn:schemas-microsoft-com:office:smarttags" w:element="chmetcnv">
              <w:smartTagPr>
                <w:attr w:name="UnitName" w:val="g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pacing w:val="-6"/>
                  <w:kern w:val="0"/>
                  <w:szCs w:val="21"/>
                </w:rPr>
                <w:t>成上级</w:t>
              </w:r>
            </w:smartTag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医师查房记录等病历书写</w:t>
            </w:r>
          </w:p>
        </w:tc>
        <w:tc>
          <w:tcPr>
            <w:tcW w:w="49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□上级医师查房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□记录生命体征、每日出入量、大便量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□观察神经精神症状及体征变化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□根据其他检查结果进行鉴别诊断，判断是否合并其他肝硬化并发症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□调整治疗方案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视病情变化进行相关科室会诊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□完成病程记录</w:t>
            </w:r>
          </w:p>
        </w:tc>
      </w:tr>
      <w:tr w:rsidR="000700E7">
        <w:trPr>
          <w:cantSplit/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重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点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嘱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特级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一级护理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低蛋白饮食或禁食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记</w:t>
            </w: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小时出入量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记大便次数及量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视病情通知病重或病危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对症及支持治疗，纠正水、电解质、酸碱平衡紊乱等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酌情调整降氨治疗剂量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保肝药物</w:t>
            </w:r>
          </w:p>
          <w:p w:rsidR="000700E7" w:rsidRDefault="000700E7" w:rsidP="002E75A2"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临时医嘱：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血氨（必要时）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血气分析（必要时）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电解质（必要时）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肝肾功、凝血功能、血常规（必要）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心电监护（必要时）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医嘱</w:t>
            </w:r>
          </w:p>
          <w:p w:rsidR="000700E7" w:rsidRDefault="000700E7" w:rsidP="002E75A2">
            <w:pPr>
              <w:spacing w:line="260" w:lineRule="exact"/>
              <w:ind w:left="360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低蛋白饮食或禁食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记</w:t>
            </w: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小时出入量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记大便次数及量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视病情通知病重或病危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对症及支持治疗，纠正水、电解质、酸碱平衡紊乱等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酌情通知病危或病重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酌情更改护理级别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饮食：根据神经精神症状调整饮食蛋白量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调整乳果糖口服剂量，维持软便</w:t>
            </w:r>
            <w:r>
              <w:rPr>
                <w:rFonts w:ascii="宋体" w:hAnsi="宋体"/>
                <w:color w:val="000000"/>
                <w:szCs w:val="21"/>
              </w:rPr>
              <w:t>2–3</w:t>
            </w:r>
            <w:r>
              <w:rPr>
                <w:rFonts w:ascii="宋体" w:hAnsi="宋体" w:hint="eastAsia"/>
                <w:color w:val="000000"/>
                <w:szCs w:val="21"/>
              </w:rPr>
              <w:t>次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神经精神症状及体征好转后逐渐减量、停用静脉治疗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其他医嘱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临时医嘱：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复查血常规、大便常规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szCs w:val="21"/>
              </w:rPr>
              <w:t>潜血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复查肝肾功能、电解质、血糖、凝血功能、血氨、血气分析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吸氧（必要时）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心电监护（必要时）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输注血浆（必要时）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输注白蛋白（必要时）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其他医嘱</w:t>
            </w:r>
          </w:p>
        </w:tc>
      </w:tr>
      <w:tr w:rsidR="000700E7">
        <w:trPr>
          <w:cantSplit/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主要护理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□观察患者病情变化，尤其是神志的变化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□监测患者生命体征变化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□观察患者病情变化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□满足患者的各种生活需要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□做好用药的指导</w:t>
            </w:r>
          </w:p>
        </w:tc>
      </w:tr>
      <w:tr w:rsidR="000700E7">
        <w:trPr>
          <w:cantSplit/>
          <w:trHeight w:val="3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病情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变异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0700E7">
        <w:trPr>
          <w:trHeight w:val="6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0700E7" w:rsidRPr="002E75A2" w:rsidRDefault="000700E7" w:rsidP="002E75A2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0700E7">
        <w:trPr>
          <w:trHeight w:val="64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医师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</w:tbl>
    <w:p w:rsidR="000700E7" w:rsidRDefault="000700E7" w:rsidP="002E75A2">
      <w:pPr>
        <w:spacing w:line="260" w:lineRule="exact"/>
      </w:pPr>
    </w:p>
    <w:tbl>
      <w:tblPr>
        <w:tblW w:w="908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4256"/>
        <w:gridCol w:w="4087"/>
      </w:tblGrid>
      <w:tr w:rsidR="000700E7">
        <w:trPr>
          <w:cantSplit/>
          <w:trHeight w:val="523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住院第</w:t>
            </w:r>
            <w:r w:rsidRPr="002E75A2">
              <w:rPr>
                <w:rFonts w:ascii="黑体" w:eastAsia="黑体" w:hAnsi="黑体"/>
                <w:szCs w:val="21"/>
              </w:rPr>
              <w:t>11–12</w:t>
            </w:r>
            <w:r w:rsidRPr="002E75A2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住院第</w:t>
            </w:r>
            <w:r w:rsidRPr="002E75A2">
              <w:rPr>
                <w:rFonts w:ascii="黑体" w:eastAsia="黑体" w:hAnsi="黑体"/>
                <w:szCs w:val="21"/>
              </w:rPr>
              <w:t>13–14</w:t>
            </w:r>
            <w:r w:rsidRPr="002E75A2">
              <w:rPr>
                <w:rFonts w:ascii="黑体" w:eastAsia="黑体" w:hAnsi="黑体" w:hint="eastAsia"/>
                <w:szCs w:val="21"/>
              </w:rPr>
              <w:t>天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0700E7">
        <w:trPr>
          <w:cantSplit/>
          <w:trHeight w:val="625"/>
        </w:trPr>
        <w:tc>
          <w:tcPr>
            <w:tcW w:w="7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要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诊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疗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作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□上级医师查房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□记录生命体征、每日出入量、大便量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□观察神经精神症状及体征变化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□调整治疗方案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□完成病程记录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0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□上级医师查房，进行评估，明确是否可出院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6"/>
                <w:szCs w:val="21"/>
              </w:rPr>
              <w:t>完成出院记录、病案首页、出院证明书等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□向患者交代出院后的注意事项，如：返院复诊的时间、地点，发生紧急情况时的处理等</w:t>
            </w:r>
          </w:p>
        </w:tc>
      </w:tr>
      <w:tr w:rsidR="000700E7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重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点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医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嘱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0700E7" w:rsidRDefault="000700E7" w:rsidP="002E75A2">
            <w:pPr>
              <w:spacing w:line="260" w:lineRule="exact"/>
              <w:ind w:left="321" w:hangingChars="153" w:hanging="32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□饮食：调整蛋白摄入</w:t>
            </w:r>
            <w:r>
              <w:rPr>
                <w:rFonts w:ascii="宋体" w:hAnsi="宋体"/>
                <w:szCs w:val="21"/>
              </w:rPr>
              <w:t>1.2</w:t>
            </w:r>
            <w:smartTag w:uri="urn:schemas-microsoft-com:office:smarttags" w:element="chmetcnv">
              <w:smartTagPr>
                <w:attr w:name="UnitName" w:val="g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-1.5g</w:t>
              </w:r>
            </w:smartTag>
            <w:r>
              <w:rPr>
                <w:rFonts w:ascii="宋体" w:hAnsi="宋体"/>
                <w:szCs w:val="21"/>
              </w:rPr>
              <w:t>/Kg/d</w:t>
            </w:r>
            <w:r>
              <w:rPr>
                <w:rFonts w:ascii="宋体" w:hAnsi="宋体" w:hint="eastAsia"/>
                <w:szCs w:val="21"/>
              </w:rPr>
              <w:t>；以植物蛋白为主</w:t>
            </w:r>
          </w:p>
          <w:p w:rsidR="000700E7" w:rsidRDefault="000700E7" w:rsidP="002E75A2">
            <w:pPr>
              <w:spacing w:line="260" w:lineRule="exact"/>
              <w:ind w:left="315" w:hangingChars="150" w:hanging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6"/>
                <w:szCs w:val="21"/>
              </w:rPr>
              <w:t>调整乳果糖口服剂量，维持软便</w:t>
            </w:r>
            <w:r>
              <w:rPr>
                <w:rFonts w:ascii="宋体" w:hAnsi="宋体"/>
                <w:spacing w:val="-6"/>
                <w:szCs w:val="21"/>
              </w:rPr>
              <w:t>2–3</w:t>
            </w:r>
            <w:r>
              <w:rPr>
                <w:rFonts w:ascii="宋体" w:hAnsi="宋体" w:hint="eastAsia"/>
                <w:spacing w:val="-6"/>
                <w:szCs w:val="21"/>
              </w:rPr>
              <w:t>次</w:t>
            </w:r>
            <w:r>
              <w:rPr>
                <w:rFonts w:ascii="宋体" w:hAnsi="宋体"/>
                <w:spacing w:val="-6"/>
                <w:szCs w:val="21"/>
              </w:rPr>
              <w:t>/</w:t>
            </w:r>
            <w:r>
              <w:rPr>
                <w:rFonts w:ascii="宋体" w:hAnsi="宋体" w:hint="eastAsia"/>
                <w:spacing w:val="-6"/>
                <w:szCs w:val="21"/>
              </w:rPr>
              <w:t>日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□其他医嘱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□复查血常规、大便常规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潜血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□复查肝肾功能、电解质、血糖、血氨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□其他医嘱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□出院带药：乳果糖（二级预防）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利福昔明（可选）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□其他医嘱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□定期门诊随访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0700E7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主要护理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□观察患者病情变化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□满足患者的各种生活需要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□做好用药的指导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□指导患者办理出院手续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□做好患者出院后的饮食指导</w:t>
            </w:r>
          </w:p>
        </w:tc>
      </w:tr>
      <w:tr w:rsidR="000700E7">
        <w:trPr>
          <w:cantSplit/>
          <w:trHeight w:val="3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病情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变异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0700E7">
        <w:trPr>
          <w:trHeight w:val="6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0700E7" w:rsidRPr="002E75A2" w:rsidRDefault="000700E7" w:rsidP="002E75A2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0700E7">
        <w:trPr>
          <w:trHeight w:val="64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医师</w:t>
            </w:r>
          </w:p>
          <w:p w:rsidR="000700E7" w:rsidRPr="002E75A2" w:rsidRDefault="000700E7" w:rsidP="002E75A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E75A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E7" w:rsidRDefault="000700E7" w:rsidP="002E75A2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</w:tbl>
    <w:p w:rsidR="000700E7" w:rsidRDefault="000700E7" w:rsidP="002E75A2">
      <w:pPr>
        <w:spacing w:line="260" w:lineRule="exact"/>
      </w:pPr>
    </w:p>
    <w:p w:rsidR="000700E7" w:rsidRDefault="000700E7" w:rsidP="002E75A2">
      <w:pPr>
        <w:spacing w:line="260" w:lineRule="exact"/>
      </w:pPr>
    </w:p>
    <w:p w:rsidR="000700E7" w:rsidRDefault="000700E7" w:rsidP="002E75A2">
      <w:pPr>
        <w:spacing w:line="260" w:lineRule="exact"/>
      </w:pPr>
    </w:p>
    <w:p w:rsidR="000700E7" w:rsidRDefault="000700E7" w:rsidP="002E75A2">
      <w:pPr>
        <w:spacing w:line="260" w:lineRule="exact"/>
      </w:pPr>
    </w:p>
    <w:p w:rsidR="000700E7" w:rsidRDefault="000700E7" w:rsidP="002E75A2">
      <w:pPr>
        <w:spacing w:line="260" w:lineRule="exact"/>
      </w:pPr>
    </w:p>
    <w:p w:rsidR="000700E7" w:rsidRDefault="000700E7" w:rsidP="002E75A2">
      <w:pPr>
        <w:spacing w:line="260" w:lineRule="exact"/>
      </w:pPr>
    </w:p>
    <w:sectPr w:rsidR="000700E7" w:rsidSect="00A7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33" w:rsidRDefault="00062C33" w:rsidP="009D58AF">
      <w:r>
        <w:separator/>
      </w:r>
    </w:p>
  </w:endnote>
  <w:endnote w:type="continuationSeparator" w:id="1">
    <w:p w:rsidR="00062C33" w:rsidRDefault="00062C33" w:rsidP="009D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33" w:rsidRDefault="00062C33" w:rsidP="009D58AF">
      <w:r>
        <w:separator/>
      </w:r>
    </w:p>
  </w:footnote>
  <w:footnote w:type="continuationSeparator" w:id="1">
    <w:p w:rsidR="00062C33" w:rsidRDefault="00062C33" w:rsidP="009D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01"/>
    <w:rsid w:val="0002452D"/>
    <w:rsid w:val="00062C33"/>
    <w:rsid w:val="000700E7"/>
    <w:rsid w:val="00072AAA"/>
    <w:rsid w:val="000A3D72"/>
    <w:rsid w:val="000B11EE"/>
    <w:rsid w:val="00101212"/>
    <w:rsid w:val="00146829"/>
    <w:rsid w:val="0015491A"/>
    <w:rsid w:val="001E760B"/>
    <w:rsid w:val="001F3163"/>
    <w:rsid w:val="0023106B"/>
    <w:rsid w:val="002B0FED"/>
    <w:rsid w:val="002E40B3"/>
    <w:rsid w:val="002E75A2"/>
    <w:rsid w:val="00357C80"/>
    <w:rsid w:val="003859C0"/>
    <w:rsid w:val="00393E89"/>
    <w:rsid w:val="003F3F6A"/>
    <w:rsid w:val="0045629D"/>
    <w:rsid w:val="004A78A4"/>
    <w:rsid w:val="005178A4"/>
    <w:rsid w:val="00522BE1"/>
    <w:rsid w:val="005B3297"/>
    <w:rsid w:val="0060704E"/>
    <w:rsid w:val="006E5017"/>
    <w:rsid w:val="007166EC"/>
    <w:rsid w:val="0074432B"/>
    <w:rsid w:val="007463A4"/>
    <w:rsid w:val="007A7F8D"/>
    <w:rsid w:val="0086558C"/>
    <w:rsid w:val="00883B40"/>
    <w:rsid w:val="008B2901"/>
    <w:rsid w:val="008D6EE9"/>
    <w:rsid w:val="009D4DF4"/>
    <w:rsid w:val="009D58AF"/>
    <w:rsid w:val="009F5086"/>
    <w:rsid w:val="00A54FB1"/>
    <w:rsid w:val="00A77B06"/>
    <w:rsid w:val="00AC64DF"/>
    <w:rsid w:val="00B0162F"/>
    <w:rsid w:val="00B162C9"/>
    <w:rsid w:val="00B222F5"/>
    <w:rsid w:val="00CD6053"/>
    <w:rsid w:val="00D4764B"/>
    <w:rsid w:val="00DA3053"/>
    <w:rsid w:val="00DA6C05"/>
    <w:rsid w:val="00DB13BE"/>
    <w:rsid w:val="00DE21AE"/>
    <w:rsid w:val="00E91D48"/>
    <w:rsid w:val="00F348F1"/>
    <w:rsid w:val="00F50D6A"/>
    <w:rsid w:val="00FB62F5"/>
    <w:rsid w:val="00FC5F8A"/>
    <w:rsid w:val="00FE65D2"/>
    <w:rsid w:val="27705B78"/>
    <w:rsid w:val="4A6E6393"/>
    <w:rsid w:val="5B306966"/>
    <w:rsid w:val="64B72490"/>
    <w:rsid w:val="6A11015E"/>
    <w:rsid w:val="7A4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A77B0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A77B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7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77B0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7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A77B0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A77B06"/>
    <w:rPr>
      <w:sz w:val="24"/>
    </w:rPr>
  </w:style>
  <w:style w:type="character" w:styleId="a7">
    <w:name w:val="Strong"/>
    <w:uiPriority w:val="99"/>
    <w:qFormat/>
    <w:rsid w:val="00A77B06"/>
    <w:rPr>
      <w:rFonts w:cs="Times New Roman"/>
      <w:b/>
    </w:rPr>
  </w:style>
  <w:style w:type="character" w:styleId="a8">
    <w:name w:val="FollowedHyperlink"/>
    <w:uiPriority w:val="99"/>
    <w:rsid w:val="00A77B06"/>
    <w:rPr>
      <w:rFonts w:cs="Times New Roman"/>
      <w:color w:val="555555"/>
      <w:u w:val="none"/>
    </w:rPr>
  </w:style>
  <w:style w:type="character" w:styleId="a9">
    <w:name w:val="Emphasis"/>
    <w:uiPriority w:val="99"/>
    <w:qFormat/>
    <w:rsid w:val="00A77B06"/>
    <w:rPr>
      <w:rFonts w:cs="Times New Roman"/>
      <w:i/>
    </w:rPr>
  </w:style>
  <w:style w:type="character" w:styleId="HTML">
    <w:name w:val="HTML Definition"/>
    <w:uiPriority w:val="99"/>
    <w:rsid w:val="00A77B06"/>
    <w:rPr>
      <w:rFonts w:cs="Times New Roman"/>
    </w:rPr>
  </w:style>
  <w:style w:type="character" w:styleId="HTML0">
    <w:name w:val="HTML Acronym"/>
    <w:uiPriority w:val="99"/>
    <w:rsid w:val="00A77B06"/>
    <w:rPr>
      <w:rFonts w:cs="Times New Roman"/>
    </w:rPr>
  </w:style>
  <w:style w:type="character" w:styleId="HTML1">
    <w:name w:val="HTML Variable"/>
    <w:uiPriority w:val="99"/>
    <w:rsid w:val="00A77B06"/>
    <w:rPr>
      <w:rFonts w:cs="Times New Roman"/>
    </w:rPr>
  </w:style>
  <w:style w:type="character" w:styleId="aa">
    <w:name w:val="Hyperlink"/>
    <w:uiPriority w:val="99"/>
    <w:rsid w:val="00A77B06"/>
    <w:rPr>
      <w:rFonts w:cs="Times New Roman"/>
      <w:color w:val="555555"/>
      <w:u w:val="none"/>
    </w:rPr>
  </w:style>
  <w:style w:type="character" w:styleId="HTML2">
    <w:name w:val="HTML Code"/>
    <w:uiPriority w:val="99"/>
    <w:rsid w:val="00A77B06"/>
    <w:rPr>
      <w:rFonts w:ascii="monospace" w:eastAsia="Times New Roman" w:hAnsi="monospace" w:cs="monospace"/>
      <w:sz w:val="24"/>
      <w:szCs w:val="24"/>
    </w:rPr>
  </w:style>
  <w:style w:type="character" w:styleId="HTML3">
    <w:name w:val="HTML Cite"/>
    <w:uiPriority w:val="99"/>
    <w:rsid w:val="00A77B06"/>
    <w:rPr>
      <w:rFonts w:cs="Times New Roman"/>
    </w:rPr>
  </w:style>
  <w:style w:type="character" w:styleId="HTML4">
    <w:name w:val="HTML Keyboard"/>
    <w:uiPriority w:val="99"/>
    <w:rsid w:val="00A77B06"/>
    <w:rPr>
      <w:rFonts w:ascii="monospace" w:eastAsia="Times New Roman" w:hAnsi="monospace" w:cs="monospace"/>
      <w:sz w:val="24"/>
      <w:szCs w:val="24"/>
    </w:rPr>
  </w:style>
  <w:style w:type="character" w:styleId="HTML5">
    <w:name w:val="HTML Sample"/>
    <w:uiPriority w:val="99"/>
    <w:rsid w:val="00A77B06"/>
    <w:rPr>
      <w:rFonts w:ascii="monospace" w:eastAsia="Times New Roman" w:hAnsi="monospace" w:cs="monospace"/>
      <w:sz w:val="24"/>
      <w:szCs w:val="24"/>
    </w:rPr>
  </w:style>
  <w:style w:type="table" w:styleId="ab">
    <w:name w:val="Table Grid"/>
    <w:basedOn w:val="a1"/>
    <w:uiPriority w:val="99"/>
    <w:rsid w:val="00A7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-tag">
    <w:name w:val="t-tag"/>
    <w:uiPriority w:val="99"/>
    <w:rsid w:val="00A77B06"/>
    <w:rPr>
      <w:rFonts w:cs="Times New Roman"/>
      <w:color w:val="FFFFFF"/>
      <w:sz w:val="18"/>
      <w:szCs w:val="18"/>
      <w:shd w:val="clear" w:color="auto" w:fill="FE8833"/>
    </w:rPr>
  </w:style>
  <w:style w:type="character" w:customStyle="1" w:styleId="ico-jiang">
    <w:name w:val="ico-jiang"/>
    <w:uiPriority w:val="99"/>
    <w:rsid w:val="00A77B06"/>
    <w:rPr>
      <w:rFonts w:cs="Times New Roman"/>
    </w:rPr>
  </w:style>
  <w:style w:type="character" w:customStyle="1" w:styleId="tip8">
    <w:name w:val="tip8"/>
    <w:uiPriority w:val="99"/>
    <w:rsid w:val="00A77B06"/>
    <w:rPr>
      <w:rFonts w:cs="Times New Roman"/>
      <w:vanish/>
      <w:color w:val="FF0000"/>
      <w:sz w:val="18"/>
      <w:szCs w:val="18"/>
    </w:rPr>
  </w:style>
  <w:style w:type="character" w:customStyle="1" w:styleId="bdsmore">
    <w:name w:val="bds_more"/>
    <w:uiPriority w:val="99"/>
    <w:rsid w:val="00A77B06"/>
    <w:rPr>
      <w:rFonts w:cs="Times New Roman"/>
    </w:rPr>
  </w:style>
  <w:style w:type="character" w:customStyle="1" w:styleId="bdsmore1">
    <w:name w:val="bds_more1"/>
    <w:uiPriority w:val="99"/>
    <w:rsid w:val="00A77B06"/>
    <w:rPr>
      <w:rFonts w:cs="Times New Roman"/>
    </w:rPr>
  </w:style>
  <w:style w:type="character" w:customStyle="1" w:styleId="f-star">
    <w:name w:val="f-star"/>
    <w:uiPriority w:val="99"/>
    <w:rsid w:val="00A77B06"/>
    <w:rPr>
      <w:rFonts w:cs="Times New Roman"/>
      <w:color w:val="999999"/>
      <w:sz w:val="21"/>
      <w:szCs w:val="21"/>
    </w:rPr>
  </w:style>
  <w:style w:type="character" w:customStyle="1" w:styleId="orange">
    <w:name w:val="orange"/>
    <w:uiPriority w:val="99"/>
    <w:rsid w:val="00A77B06"/>
    <w:rPr>
      <w:rFonts w:cs="Times New Roman"/>
      <w:color w:val="3FB58F"/>
    </w:rPr>
  </w:style>
  <w:style w:type="character" w:customStyle="1" w:styleId="my-notice1">
    <w:name w:val="my-notice1"/>
    <w:uiPriority w:val="99"/>
    <w:rsid w:val="00A77B06"/>
    <w:rPr>
      <w:rFonts w:cs="Times New Roman"/>
    </w:rPr>
  </w:style>
  <w:style w:type="character" w:customStyle="1" w:styleId="my-class">
    <w:name w:val="my-class"/>
    <w:uiPriority w:val="99"/>
    <w:rsid w:val="00A77B06"/>
    <w:rPr>
      <w:rFonts w:cs="Times New Roman"/>
    </w:rPr>
  </w:style>
  <w:style w:type="character" w:customStyle="1" w:styleId="no62">
    <w:name w:val="no62"/>
    <w:uiPriority w:val="99"/>
    <w:rsid w:val="00A77B06"/>
    <w:rPr>
      <w:rFonts w:cs="Times New Roman"/>
    </w:rPr>
  </w:style>
  <w:style w:type="character" w:customStyle="1" w:styleId="no5">
    <w:name w:val="no5"/>
    <w:uiPriority w:val="99"/>
    <w:rsid w:val="00A77B06"/>
    <w:rPr>
      <w:rFonts w:cs="Times New Roman"/>
    </w:rPr>
  </w:style>
  <w:style w:type="character" w:customStyle="1" w:styleId="no42">
    <w:name w:val="no42"/>
    <w:uiPriority w:val="99"/>
    <w:rsid w:val="00A77B06"/>
    <w:rPr>
      <w:rFonts w:cs="Times New Roman"/>
    </w:rPr>
  </w:style>
  <w:style w:type="character" w:customStyle="1" w:styleId="no72">
    <w:name w:val="no72"/>
    <w:uiPriority w:val="99"/>
    <w:rsid w:val="00A77B06"/>
    <w:rPr>
      <w:rFonts w:cs="Times New Roman"/>
    </w:rPr>
  </w:style>
  <w:style w:type="character" w:customStyle="1" w:styleId="ui-bz-bg-hover">
    <w:name w:val="ui-bz-bg-hover"/>
    <w:uiPriority w:val="99"/>
    <w:rsid w:val="00A77B06"/>
    <w:rPr>
      <w:rFonts w:cs="Times New Roman"/>
      <w:shd w:val="clear" w:color="auto" w:fill="000000"/>
    </w:rPr>
  </w:style>
  <w:style w:type="character" w:customStyle="1" w:styleId="ui-bz-bg-hover1">
    <w:name w:val="ui-bz-bg-hover1"/>
    <w:uiPriority w:val="99"/>
    <w:rsid w:val="00A77B06"/>
    <w:rPr>
      <w:rFonts w:cs="Times New Roman"/>
    </w:rPr>
  </w:style>
  <w:style w:type="character" w:customStyle="1" w:styleId="top-icon">
    <w:name w:val="top-icon"/>
    <w:uiPriority w:val="99"/>
    <w:rsid w:val="00A77B06"/>
    <w:rPr>
      <w:rFonts w:cs="Times New Roman"/>
    </w:rPr>
  </w:style>
  <w:style w:type="character" w:customStyle="1" w:styleId="bdsnopic">
    <w:name w:val="bds_nopic"/>
    <w:uiPriority w:val="99"/>
    <w:rsid w:val="00A77B06"/>
    <w:rPr>
      <w:rFonts w:cs="Times New Roman"/>
    </w:rPr>
  </w:style>
  <w:style w:type="character" w:customStyle="1" w:styleId="bdsnopic1">
    <w:name w:val="bds_nopic1"/>
    <w:uiPriority w:val="99"/>
    <w:rsid w:val="00A77B06"/>
    <w:rPr>
      <w:rFonts w:cs="Times New Roman"/>
    </w:rPr>
  </w:style>
  <w:style w:type="character" w:customStyle="1" w:styleId="bdsnopic2">
    <w:name w:val="bds_nopic2"/>
    <w:uiPriority w:val="99"/>
    <w:rsid w:val="00A77B06"/>
    <w:rPr>
      <w:rFonts w:cs="Times New Roman"/>
    </w:rPr>
  </w:style>
  <w:style w:type="character" w:customStyle="1" w:styleId="orgname2">
    <w:name w:val="org_name2"/>
    <w:uiPriority w:val="99"/>
    <w:rsid w:val="00A77B06"/>
    <w:rPr>
      <w:rFonts w:cs="Times New Roman"/>
    </w:rPr>
  </w:style>
  <w:style w:type="character" w:customStyle="1" w:styleId="bdsmore2">
    <w:name w:val="bds_more2"/>
    <w:uiPriority w:val="99"/>
    <w:rsid w:val="00A77B06"/>
    <w:rPr>
      <w:rFonts w:cs="Times New Roman"/>
    </w:rPr>
  </w:style>
  <w:style w:type="character" w:customStyle="1" w:styleId="no4">
    <w:name w:val="no4"/>
    <w:uiPriority w:val="99"/>
    <w:rsid w:val="00A77B06"/>
    <w:rPr>
      <w:rFonts w:cs="Times New Roman"/>
      <w:sz w:val="19"/>
      <w:szCs w:val="19"/>
    </w:rPr>
  </w:style>
  <w:style w:type="character" w:customStyle="1" w:styleId="orgname">
    <w:name w:val="org_name"/>
    <w:uiPriority w:val="99"/>
    <w:rsid w:val="00A77B06"/>
    <w:rPr>
      <w:rFonts w:cs="Times New Roman"/>
    </w:rPr>
  </w:style>
  <w:style w:type="character" w:customStyle="1" w:styleId="no52">
    <w:name w:val="no52"/>
    <w:uiPriority w:val="99"/>
    <w:rsid w:val="00A77B06"/>
    <w:rPr>
      <w:rFonts w:cs="Times New Roman"/>
    </w:rPr>
  </w:style>
  <w:style w:type="character" w:customStyle="1" w:styleId="orange6">
    <w:name w:val="orange6"/>
    <w:uiPriority w:val="99"/>
    <w:rsid w:val="00A77B06"/>
    <w:rPr>
      <w:rFonts w:cs="Times New Roman"/>
      <w:color w:val="3FB58F"/>
    </w:rPr>
  </w:style>
  <w:style w:type="character" w:customStyle="1" w:styleId="no6">
    <w:name w:val="no6"/>
    <w:uiPriority w:val="99"/>
    <w:rsid w:val="00A77B06"/>
    <w:rPr>
      <w:rFonts w:cs="Times New Roman"/>
    </w:rPr>
  </w:style>
  <w:style w:type="character" w:customStyle="1" w:styleId="ico-jiang2">
    <w:name w:val="ico-jiang2"/>
    <w:uiPriority w:val="99"/>
    <w:rsid w:val="00A77B06"/>
    <w:rPr>
      <w:rFonts w:cs="Times New Roman"/>
    </w:rPr>
  </w:style>
  <w:style w:type="character" w:customStyle="1" w:styleId="ico-jiang3">
    <w:name w:val="ico-jiang3"/>
    <w:uiPriority w:val="99"/>
    <w:rsid w:val="00A77B06"/>
    <w:rPr>
      <w:rFonts w:cs="Times New Roman"/>
    </w:rPr>
  </w:style>
  <w:style w:type="character" w:customStyle="1" w:styleId="tip10">
    <w:name w:val="tip10"/>
    <w:uiPriority w:val="99"/>
    <w:rsid w:val="00A77B06"/>
    <w:rPr>
      <w:rFonts w:cs="Times New Roman"/>
      <w:vanish/>
      <w:color w:val="FF0000"/>
      <w:sz w:val="18"/>
      <w:szCs w:val="18"/>
    </w:rPr>
  </w:style>
  <w:style w:type="character" w:customStyle="1" w:styleId="ico-jiang1">
    <w:name w:val="ico-jiang1"/>
    <w:uiPriority w:val="99"/>
    <w:rsid w:val="00A77B06"/>
    <w:rPr>
      <w:rFonts w:cs="Times New Roman"/>
    </w:rPr>
  </w:style>
  <w:style w:type="character" w:customStyle="1" w:styleId="tip11">
    <w:name w:val="tip11"/>
    <w:uiPriority w:val="99"/>
    <w:rsid w:val="00A77B06"/>
    <w:rPr>
      <w:rFonts w:cs="Times New Roman"/>
      <w:vanish/>
      <w:color w:val="FF0000"/>
      <w:sz w:val="18"/>
      <w:szCs w:val="18"/>
    </w:rPr>
  </w:style>
  <w:style w:type="character" w:customStyle="1" w:styleId="orange5">
    <w:name w:val="orange5"/>
    <w:uiPriority w:val="99"/>
    <w:rsid w:val="00A77B06"/>
    <w:rPr>
      <w:rFonts w:cs="Times New Roman"/>
      <w:color w:val="3FB58F"/>
    </w:rPr>
  </w:style>
  <w:style w:type="character" w:customStyle="1" w:styleId="tip9">
    <w:name w:val="tip9"/>
    <w:uiPriority w:val="99"/>
    <w:rsid w:val="00A77B06"/>
    <w:rPr>
      <w:rFonts w:cs="Times New Roman"/>
      <w:vanish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</dc:creator>
  <cp:keywords/>
  <dc:description/>
  <cp:lastModifiedBy>lenovo</cp:lastModifiedBy>
  <cp:revision>52</cp:revision>
  <dcterms:created xsi:type="dcterms:W3CDTF">2015-03-12T13:10:00Z</dcterms:created>
  <dcterms:modified xsi:type="dcterms:W3CDTF">2016-11-17T02:56:00Z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