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07" w:rsidRPr="0006031B" w:rsidRDefault="00442467" w:rsidP="007023BA">
      <w:pPr>
        <w:spacing w:line="360" w:lineRule="auto"/>
        <w:jc w:val="center"/>
        <w:outlineLvl w:val="0"/>
        <w:rPr>
          <w:rFonts w:ascii="宋体" w:hAnsi="宋体"/>
          <w:b/>
          <w:bCs/>
          <w:color w:val="000000" w:themeColor="text1"/>
          <w:sz w:val="44"/>
        </w:rPr>
      </w:pPr>
      <w:bookmarkStart w:id="0" w:name="_Toc459909826"/>
      <w:r w:rsidRPr="0006031B">
        <w:rPr>
          <w:rFonts w:ascii="宋体" w:hAnsi="宋体" w:hint="eastAsia"/>
          <w:b/>
          <w:bCs/>
          <w:color w:val="000000" w:themeColor="text1"/>
          <w:sz w:val="44"/>
        </w:rPr>
        <w:t>干燥综合征伴肺间质纤维化临床路径</w:t>
      </w:r>
      <w:bookmarkEnd w:id="0"/>
    </w:p>
    <w:p w:rsidR="00661307" w:rsidRDefault="00442467" w:rsidP="007023BA">
      <w:pPr>
        <w:spacing w:line="360" w:lineRule="auto"/>
        <w:jc w:val="center"/>
        <w:outlineLvl w:val="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(2016年版）</w:t>
      </w:r>
    </w:p>
    <w:p w:rsidR="00C76A5D" w:rsidRPr="0006031B" w:rsidRDefault="00C76A5D" w:rsidP="007023BA">
      <w:pPr>
        <w:spacing w:line="360" w:lineRule="auto"/>
        <w:jc w:val="center"/>
        <w:outlineLvl w:val="0"/>
        <w:rPr>
          <w:rFonts w:ascii="宋体" w:hAnsi="宋体"/>
          <w:b/>
          <w:bCs/>
          <w:color w:val="000000" w:themeColor="text1"/>
          <w:sz w:val="44"/>
        </w:rPr>
      </w:pPr>
    </w:p>
    <w:p w:rsidR="00661307" w:rsidRPr="0006031B" w:rsidRDefault="00442467" w:rsidP="007023BA">
      <w:pPr>
        <w:adjustRightInd w:val="0"/>
        <w:snapToGrid w:val="0"/>
        <w:spacing w:line="360" w:lineRule="auto"/>
        <w:ind w:firstLineChars="200" w:firstLine="640"/>
        <w:rPr>
          <w:rFonts w:ascii="黑体" w:eastAsia="黑体"/>
          <w:bCs/>
          <w:color w:val="000000" w:themeColor="text1"/>
          <w:sz w:val="32"/>
          <w:szCs w:val="32"/>
        </w:rPr>
      </w:pPr>
      <w:r w:rsidRPr="0006031B">
        <w:rPr>
          <w:rFonts w:ascii="黑体" w:eastAsia="黑体" w:hAnsi="宋体" w:hint="eastAsia"/>
          <w:bCs/>
          <w:color w:val="000000" w:themeColor="text1"/>
          <w:sz w:val="32"/>
          <w:szCs w:val="32"/>
        </w:rPr>
        <w:t>一、干燥综合征伴肺间质纤维化临床路径标准住院流程</w:t>
      </w:r>
    </w:p>
    <w:p w:rsidR="00661307" w:rsidRPr="0006031B" w:rsidRDefault="00442467" w:rsidP="007023BA">
      <w:pPr>
        <w:adjustRightInd w:val="0"/>
        <w:snapToGrid w:val="0"/>
        <w:spacing w:line="360" w:lineRule="auto"/>
        <w:ind w:firstLineChars="196" w:firstLine="630"/>
        <w:rPr>
          <w:rFonts w:ascii="楷体_GB2312" w:eastAsia="楷体_GB2312" w:hAnsi="楷体_GB2312" w:cs="楷体_GB2312"/>
          <w:b/>
          <w:color w:val="000000" w:themeColor="text1"/>
          <w:sz w:val="32"/>
          <w:szCs w:val="32"/>
        </w:rPr>
      </w:pPr>
      <w:r w:rsidRPr="0006031B">
        <w:rPr>
          <w:rFonts w:ascii="楷体_GB2312" w:eastAsia="楷体_GB2312" w:hAnsi="楷体_GB2312" w:cs="楷体_GB2312" w:hint="eastAsia"/>
          <w:b/>
          <w:color w:val="000000" w:themeColor="text1"/>
          <w:sz w:val="32"/>
          <w:szCs w:val="32"/>
        </w:rPr>
        <w:t>（一）适用对象。</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第一诊断为干燥综合征伴肺间质纤维化（ICD-10：</w:t>
      </w:r>
      <w:r w:rsidR="007C4369" w:rsidRPr="007C4369">
        <w:rPr>
          <w:rFonts w:ascii="仿宋_GB2312" w:eastAsia="仿宋_GB2312" w:hAnsi="仿宋_GB2312" w:cs="仿宋_GB2312"/>
          <w:color w:val="000000" w:themeColor="text1"/>
          <w:sz w:val="32"/>
          <w:szCs w:val="32"/>
        </w:rPr>
        <w:t>M35.002+J99.1*</w:t>
      </w:r>
      <w:r w:rsidRPr="0006031B">
        <w:rPr>
          <w:rFonts w:ascii="仿宋_GB2312" w:eastAsia="仿宋_GB2312" w:hAnsi="仿宋_GB2312" w:cs="仿宋_GB2312" w:hint="eastAsia"/>
          <w:color w:val="000000" w:themeColor="text1"/>
          <w:sz w:val="32"/>
          <w:szCs w:val="32"/>
        </w:rPr>
        <w:t>）。</w:t>
      </w:r>
    </w:p>
    <w:p w:rsidR="00661307" w:rsidRPr="0006031B" w:rsidRDefault="00442467" w:rsidP="007023BA">
      <w:pPr>
        <w:adjustRightInd w:val="0"/>
        <w:snapToGrid w:val="0"/>
        <w:spacing w:line="360" w:lineRule="auto"/>
        <w:ind w:firstLineChars="200" w:firstLine="643"/>
        <w:rPr>
          <w:rFonts w:ascii="楷体_GB2312" w:eastAsia="楷体_GB2312" w:hAnsi="楷体_GB2312" w:cs="楷体_GB2312"/>
          <w:b/>
          <w:color w:val="000000" w:themeColor="text1"/>
          <w:sz w:val="32"/>
          <w:szCs w:val="32"/>
        </w:rPr>
      </w:pPr>
      <w:r w:rsidRPr="0006031B">
        <w:rPr>
          <w:rFonts w:ascii="楷体_GB2312" w:eastAsia="楷体_GB2312" w:hAnsi="楷体_GB2312" w:cs="楷体_GB2312" w:hint="eastAsia"/>
          <w:b/>
          <w:color w:val="000000" w:themeColor="text1"/>
          <w:sz w:val="32"/>
          <w:szCs w:val="32"/>
        </w:rPr>
        <w:t>（二）诊断依据。</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根据2002干燥综合征国际分类标准（表1、2），《临床诊疗指南-风湿病学分册》（中华医学会编著，人民卫生出版社），《干燥综合征诊断及治疗指南》（中华医学会风湿病学分会，2010年）。</w:t>
      </w:r>
    </w:p>
    <w:p w:rsidR="00F45E96" w:rsidRDefault="00695B18" w:rsidP="007023BA">
      <w:pPr>
        <w:spacing w:line="360" w:lineRule="auto"/>
        <w:ind w:firstLineChars="300" w:firstLine="9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1．符合</w:t>
      </w:r>
      <w:r w:rsidRPr="0006031B">
        <w:rPr>
          <w:rFonts w:ascii="仿宋_GB2312" w:eastAsia="仿宋_GB2312" w:hAnsi="仿宋_GB2312" w:cs="仿宋_GB2312" w:hint="eastAsia"/>
          <w:color w:val="000000" w:themeColor="text1"/>
          <w:sz w:val="32"/>
          <w:szCs w:val="32"/>
        </w:rPr>
        <w:t>干燥综合征国际分类标准</w:t>
      </w:r>
    </w:p>
    <w:p w:rsidR="00661307" w:rsidRPr="0006031B" w:rsidRDefault="00442467" w:rsidP="007023BA">
      <w:pPr>
        <w:spacing w:line="360" w:lineRule="auto"/>
        <w:jc w:val="center"/>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表l.  2002年干燥综合征国际分类标准项目</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8522"/>
      </w:tblGrid>
      <w:tr w:rsidR="00661307" w:rsidRPr="0006031B">
        <w:trPr>
          <w:jc w:val="center"/>
        </w:trPr>
        <w:tc>
          <w:tcPr>
            <w:tcW w:w="8522" w:type="dxa"/>
            <w:tcBorders>
              <w:top w:val="single" w:sz="8" w:space="0" w:color="auto"/>
              <w:left w:val="single" w:sz="8" w:space="0" w:color="auto"/>
              <w:bottom w:val="single" w:sz="8" w:space="0" w:color="auto"/>
              <w:right w:val="single" w:sz="8" w:space="0" w:color="auto"/>
            </w:tcBorders>
          </w:tcPr>
          <w:p w:rsidR="00661307" w:rsidRPr="0006031B" w:rsidRDefault="00442467" w:rsidP="007023BA">
            <w:pPr>
              <w:spacing w:line="360" w:lineRule="auto"/>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I．口腔症状：3项中有l项或1项以上</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1．每日感口干持续3个月以上；</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2．成年后腮腺反复或持续肿大；</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3．吞咽干性食物时需用水帮助。</w:t>
            </w:r>
          </w:p>
        </w:tc>
      </w:tr>
      <w:tr w:rsidR="00661307" w:rsidRPr="0006031B">
        <w:trPr>
          <w:jc w:val="center"/>
        </w:trPr>
        <w:tc>
          <w:tcPr>
            <w:tcW w:w="8522" w:type="dxa"/>
            <w:tcBorders>
              <w:top w:val="single" w:sz="8" w:space="0" w:color="auto"/>
              <w:left w:val="single" w:sz="8" w:space="0" w:color="auto"/>
              <w:bottom w:val="single" w:sz="8" w:space="0" w:color="auto"/>
              <w:right w:val="single" w:sz="8" w:space="0" w:color="auto"/>
            </w:tcBorders>
          </w:tcPr>
          <w:p w:rsidR="00661307" w:rsidRPr="0006031B" w:rsidRDefault="00442467" w:rsidP="007023BA">
            <w:pPr>
              <w:spacing w:line="360" w:lineRule="auto"/>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Ⅱ．眼部症状：3项中有l项或l项以上</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1．每日感到不能忍受的眼干持续3个月以上；</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2．有反复的砂子进眼或砂磨感觉；</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3．每日需用人工泪液3次或3次以上。</w:t>
            </w:r>
          </w:p>
        </w:tc>
      </w:tr>
      <w:tr w:rsidR="00661307" w:rsidRPr="0006031B">
        <w:trPr>
          <w:jc w:val="center"/>
        </w:trPr>
        <w:tc>
          <w:tcPr>
            <w:tcW w:w="8522" w:type="dxa"/>
            <w:tcBorders>
              <w:top w:val="single" w:sz="8" w:space="0" w:color="auto"/>
              <w:left w:val="single" w:sz="8" w:space="0" w:color="auto"/>
              <w:bottom w:val="single" w:sz="8" w:space="0" w:color="auto"/>
              <w:right w:val="single" w:sz="8" w:space="0" w:color="auto"/>
            </w:tcBorders>
          </w:tcPr>
          <w:p w:rsidR="00661307" w:rsidRPr="0006031B" w:rsidRDefault="00442467" w:rsidP="007023BA">
            <w:pPr>
              <w:spacing w:line="360" w:lineRule="auto"/>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lastRenderedPageBreak/>
              <w:t>Ⅲ．眼部体征：下述检查有l项或l项以上阳性</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1．Schirmer I试验(+)(≤5 mm/5 min)；</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2．角膜染色(+)(≥4 van Bijsterveld计分法)。</w:t>
            </w:r>
          </w:p>
        </w:tc>
      </w:tr>
      <w:tr w:rsidR="00661307" w:rsidRPr="0006031B">
        <w:trPr>
          <w:jc w:val="center"/>
        </w:trPr>
        <w:tc>
          <w:tcPr>
            <w:tcW w:w="8522" w:type="dxa"/>
            <w:tcBorders>
              <w:top w:val="single" w:sz="8" w:space="0" w:color="auto"/>
              <w:left w:val="single" w:sz="8" w:space="0" w:color="auto"/>
              <w:bottom w:val="single" w:sz="8" w:space="0" w:color="auto"/>
              <w:right w:val="single" w:sz="8" w:space="0" w:color="auto"/>
            </w:tcBorders>
          </w:tcPr>
          <w:p w:rsidR="00661307" w:rsidRPr="0006031B" w:rsidRDefault="00442467" w:rsidP="007023BA">
            <w:pPr>
              <w:spacing w:line="360" w:lineRule="auto"/>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 xml:space="preserve">Ⅳ．组织学检查：下唇腺病理示淋巴细胞灶≥l(指4 </w:t>
            </w:r>
            <w:r w:rsidRPr="0006031B">
              <w:rPr>
                <w:rFonts w:ascii="仿宋_GB2312" w:eastAsia="仿宋_GB2312" w:hAnsi="仿宋_GB2312" w:cs="仿宋_GB2312" w:hint="eastAsia"/>
                <w:color w:val="000000" w:themeColor="text1"/>
                <w:sz w:val="32"/>
                <w:szCs w:val="32"/>
                <w:u w:val="single"/>
              </w:rPr>
              <w:t>mm</w:t>
            </w:r>
            <w:r w:rsidRPr="0006031B">
              <w:rPr>
                <w:rFonts w:ascii="仿宋_GB2312" w:eastAsia="仿宋_GB2312" w:hAnsi="仿宋_GB2312" w:cs="仿宋_GB2312" w:hint="eastAsia"/>
                <w:color w:val="000000" w:themeColor="text1"/>
                <w:sz w:val="32"/>
                <w:szCs w:val="32"/>
                <w:u w:val="single"/>
                <w:vertAlign w:val="superscript"/>
              </w:rPr>
              <w:t>2</w:t>
            </w:r>
            <w:r w:rsidRPr="0006031B">
              <w:rPr>
                <w:rFonts w:ascii="仿宋_GB2312" w:eastAsia="仿宋_GB2312" w:hAnsi="仿宋_GB2312" w:cs="仿宋_GB2312" w:hint="eastAsia"/>
                <w:color w:val="000000" w:themeColor="text1"/>
                <w:sz w:val="32"/>
                <w:szCs w:val="32"/>
              </w:rPr>
              <w:t>组织内</w:t>
            </w:r>
          </w:p>
          <w:p w:rsidR="00661307" w:rsidRPr="0006031B" w:rsidRDefault="00442467" w:rsidP="007023BA">
            <w:pPr>
              <w:spacing w:line="360" w:lineRule="auto"/>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至少有50个淋巴细胞聚集于唇腺间质者为1灶)</w:t>
            </w:r>
          </w:p>
        </w:tc>
      </w:tr>
      <w:tr w:rsidR="00661307" w:rsidRPr="0006031B">
        <w:trPr>
          <w:jc w:val="center"/>
        </w:trPr>
        <w:tc>
          <w:tcPr>
            <w:tcW w:w="8522" w:type="dxa"/>
            <w:tcBorders>
              <w:top w:val="single" w:sz="8" w:space="0" w:color="auto"/>
              <w:left w:val="single" w:sz="8" w:space="0" w:color="auto"/>
              <w:bottom w:val="single" w:sz="8" w:space="0" w:color="auto"/>
              <w:right w:val="single" w:sz="8" w:space="0" w:color="auto"/>
            </w:tcBorders>
          </w:tcPr>
          <w:p w:rsidR="00661307" w:rsidRPr="0006031B" w:rsidRDefault="00442467" w:rsidP="007023BA">
            <w:pPr>
              <w:spacing w:line="360" w:lineRule="auto"/>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V．涎腺受损：下述检查有l项或1项以上阳性</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1．涎液流率(+)(≤1.5 ml/15 min)；</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2．腮腺造影(+)；</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3．涎腺同位</w:t>
            </w:r>
            <w:r w:rsidRPr="0006031B">
              <w:rPr>
                <w:rFonts w:ascii="仿宋_GB2312" w:eastAsia="仿宋_GB2312" w:hAnsi="仿宋_GB2312" w:cs="仿宋_GB2312" w:hint="eastAsia"/>
                <w:color w:val="000000" w:themeColor="text1"/>
                <w:sz w:val="32"/>
                <w:szCs w:val="32"/>
                <w:u w:val="single"/>
              </w:rPr>
              <w:t>素</w:t>
            </w:r>
            <w:r w:rsidRPr="0006031B">
              <w:rPr>
                <w:rFonts w:ascii="仿宋_GB2312" w:eastAsia="仿宋_GB2312" w:hAnsi="仿宋_GB2312" w:cs="仿宋_GB2312" w:hint="eastAsia"/>
                <w:color w:val="000000" w:themeColor="text1"/>
                <w:sz w:val="32"/>
                <w:szCs w:val="32"/>
              </w:rPr>
              <w:t>检查(+)</w:t>
            </w:r>
          </w:p>
          <w:p w:rsidR="00661307" w:rsidRPr="0006031B" w:rsidRDefault="00442467" w:rsidP="007023BA">
            <w:pPr>
              <w:spacing w:line="360" w:lineRule="auto"/>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Ⅵ．自身抗体：抗SSA抗体或抗SSB抗体(+)(双扩散法)</w:t>
            </w:r>
          </w:p>
        </w:tc>
      </w:tr>
    </w:tbl>
    <w:p w:rsidR="00661307" w:rsidRPr="0006031B" w:rsidRDefault="00661307" w:rsidP="007023BA">
      <w:pPr>
        <w:spacing w:line="360" w:lineRule="auto"/>
        <w:rPr>
          <w:rFonts w:ascii="仿宋_GB2312" w:eastAsia="仿宋_GB2312" w:hAnsi="仿宋_GB2312" w:cs="仿宋_GB2312"/>
          <w:color w:val="000000" w:themeColor="text1"/>
          <w:sz w:val="32"/>
          <w:szCs w:val="32"/>
        </w:rPr>
      </w:pPr>
    </w:p>
    <w:p w:rsidR="00661307" w:rsidRPr="0006031B" w:rsidRDefault="00661307" w:rsidP="007023BA">
      <w:pPr>
        <w:spacing w:line="360" w:lineRule="auto"/>
        <w:jc w:val="center"/>
        <w:rPr>
          <w:rFonts w:ascii="仿宋_GB2312" w:eastAsia="仿宋_GB2312" w:hAnsi="仿宋_GB2312" w:cs="仿宋_GB2312"/>
          <w:color w:val="000000" w:themeColor="text1"/>
          <w:sz w:val="32"/>
          <w:szCs w:val="32"/>
        </w:rPr>
      </w:pPr>
    </w:p>
    <w:p w:rsidR="00F45E96" w:rsidRDefault="00695B18" w:rsidP="007023BA">
      <w:pPr>
        <w:spacing w:line="360" w:lineRule="auto"/>
        <w:ind w:firstLineChars="600" w:firstLine="192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 xml:space="preserve">2. </w:t>
      </w:r>
      <w:r>
        <w:rPr>
          <w:rFonts w:ascii="仿宋_GB2312" w:eastAsia="仿宋_GB2312" w:hAnsi="仿宋_GB2312" w:cs="仿宋_GB2312" w:hint="eastAsia"/>
          <w:color w:val="000000" w:themeColor="text1"/>
          <w:sz w:val="32"/>
          <w:szCs w:val="32"/>
        </w:rPr>
        <w:t>符合干燥综合征的</w:t>
      </w:r>
      <w:r w:rsidRPr="0006031B">
        <w:rPr>
          <w:rFonts w:ascii="仿宋_GB2312" w:eastAsia="仿宋_GB2312" w:hAnsi="仿宋_GB2312" w:cs="仿宋_GB2312" w:hint="eastAsia"/>
          <w:color w:val="000000" w:themeColor="text1"/>
          <w:sz w:val="32"/>
          <w:szCs w:val="32"/>
        </w:rPr>
        <w:t>分类标准项目的具体分类</w:t>
      </w:r>
      <w:r w:rsidR="00442467" w:rsidRPr="0006031B">
        <w:rPr>
          <w:rFonts w:ascii="仿宋_GB2312" w:eastAsia="仿宋_GB2312" w:hAnsi="仿宋_GB2312" w:cs="仿宋_GB2312" w:hint="eastAsia"/>
          <w:color w:val="000000" w:themeColor="text1"/>
          <w:sz w:val="32"/>
          <w:szCs w:val="32"/>
        </w:rPr>
        <w:t>表2.  分类标准项目的具体分类</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8522"/>
      </w:tblGrid>
      <w:tr w:rsidR="00661307" w:rsidRPr="0006031B">
        <w:trPr>
          <w:jc w:val="center"/>
        </w:trPr>
        <w:tc>
          <w:tcPr>
            <w:tcW w:w="8522" w:type="dxa"/>
            <w:tcBorders>
              <w:top w:val="single" w:sz="8" w:space="0" w:color="auto"/>
              <w:left w:val="single" w:sz="8" w:space="0" w:color="auto"/>
              <w:bottom w:val="single" w:sz="8" w:space="0" w:color="auto"/>
              <w:right w:val="single" w:sz="8" w:space="0" w:color="auto"/>
            </w:tcBorders>
          </w:tcPr>
          <w:p w:rsidR="00661307" w:rsidRPr="0006031B" w:rsidRDefault="00442467" w:rsidP="007023BA">
            <w:pPr>
              <w:spacing w:line="360" w:lineRule="auto"/>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1．干燥综合征：无任何潜在疾病的情况下，有下述2条则可诊断：</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a．符合表l中4条或4条以上，但必须含有条目Ⅳ(组织学</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检查)和(或)条目Ⅵ(自身抗体)；</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b．条目Ⅲ、Ⅳ、V、Vl 4条中任3条阳性。</w:t>
            </w:r>
          </w:p>
        </w:tc>
      </w:tr>
      <w:tr w:rsidR="00661307" w:rsidRPr="0006031B">
        <w:trPr>
          <w:jc w:val="center"/>
        </w:trPr>
        <w:tc>
          <w:tcPr>
            <w:tcW w:w="8522" w:type="dxa"/>
            <w:tcBorders>
              <w:top w:val="single" w:sz="8" w:space="0" w:color="auto"/>
              <w:left w:val="single" w:sz="8" w:space="0" w:color="auto"/>
              <w:bottom w:val="single" w:sz="8" w:space="0" w:color="auto"/>
              <w:right w:val="single" w:sz="8" w:space="0" w:color="auto"/>
            </w:tcBorders>
          </w:tcPr>
          <w:p w:rsidR="00661307" w:rsidRPr="0006031B" w:rsidRDefault="00442467" w:rsidP="007023BA">
            <w:pPr>
              <w:spacing w:line="360" w:lineRule="auto"/>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2．必须除外：颈头面部放疗史，丙型肝炎病毒感染．艾滋</w:t>
            </w:r>
            <w:r w:rsidRPr="0006031B">
              <w:rPr>
                <w:rFonts w:ascii="仿宋_GB2312" w:eastAsia="仿宋_GB2312" w:hAnsi="仿宋_GB2312" w:cs="仿宋_GB2312" w:hint="eastAsia"/>
                <w:color w:val="000000" w:themeColor="text1"/>
                <w:sz w:val="32"/>
                <w:szCs w:val="32"/>
              </w:rPr>
              <w:lastRenderedPageBreak/>
              <w:t>病．淋巴瘤．结节病．格雷夫斯病，抗乙酰胆碱药的应用（如阿托品、莨菪碱、溴丙胺太林、颠茄等)</w:t>
            </w:r>
          </w:p>
        </w:tc>
      </w:tr>
    </w:tbl>
    <w:p w:rsidR="00661307" w:rsidRPr="0006031B" w:rsidRDefault="00661307" w:rsidP="007023BA">
      <w:pPr>
        <w:adjustRightInd w:val="0"/>
        <w:snapToGrid w:val="0"/>
        <w:spacing w:line="360" w:lineRule="auto"/>
        <w:ind w:firstLineChars="200" w:firstLine="643"/>
        <w:rPr>
          <w:rFonts w:ascii="仿宋_GB2312" w:eastAsia="仿宋_GB2312" w:hAnsi="仿宋_GB2312" w:cs="仿宋_GB2312"/>
          <w:b/>
          <w:color w:val="000000" w:themeColor="text1"/>
          <w:sz w:val="32"/>
          <w:szCs w:val="32"/>
        </w:rPr>
      </w:pPr>
    </w:p>
    <w:p w:rsidR="00F45E96" w:rsidRDefault="00695B18" w:rsidP="007023BA">
      <w:pPr>
        <w:adjustRightInd w:val="0"/>
        <w:snapToGrid w:val="0"/>
        <w:spacing w:line="360" w:lineRule="auto"/>
        <w:ind w:firstLineChars="400" w:firstLine="12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sidR="00442467" w:rsidRPr="0006031B">
        <w:rPr>
          <w:rFonts w:ascii="仿宋_GB2312" w:eastAsia="仿宋_GB2312" w:hAnsi="仿宋_GB2312" w:cs="仿宋_GB2312" w:hint="eastAsia"/>
          <w:color w:val="000000" w:themeColor="text1"/>
          <w:sz w:val="32"/>
          <w:szCs w:val="32"/>
        </w:rPr>
        <w:t>胸部HRCT表现为</w:t>
      </w:r>
      <w:r w:rsidR="00442467" w:rsidRPr="007023BA">
        <w:rPr>
          <w:rFonts w:ascii="仿宋_GB2312" w:eastAsia="仿宋_GB2312" w:hAnsi="仿宋_GB2312" w:cs="仿宋_GB2312" w:hint="eastAsia"/>
          <w:color w:val="000000" w:themeColor="text1"/>
          <w:sz w:val="32"/>
          <w:szCs w:val="32"/>
        </w:rPr>
        <w:t>双肺磨玻璃影、网格样改变</w:t>
      </w:r>
      <w:r w:rsidR="00442467" w:rsidRPr="0006031B">
        <w:rPr>
          <w:rFonts w:ascii="仿宋_GB2312" w:eastAsia="仿宋_GB2312" w:hAnsi="仿宋_GB2312" w:cs="仿宋_GB2312" w:hint="eastAsia"/>
          <w:color w:val="000000" w:themeColor="text1"/>
          <w:sz w:val="32"/>
          <w:szCs w:val="32"/>
        </w:rPr>
        <w:t>。</w:t>
      </w:r>
    </w:p>
    <w:p w:rsidR="00F45E96" w:rsidRDefault="00695B18" w:rsidP="007023BA">
      <w:pPr>
        <w:adjustRightInd w:val="0"/>
        <w:snapToGrid w:val="0"/>
        <w:spacing w:line="360" w:lineRule="auto"/>
        <w:ind w:firstLineChars="400" w:firstLine="12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sidR="00442467" w:rsidRPr="0006031B">
        <w:rPr>
          <w:rFonts w:ascii="仿宋_GB2312" w:eastAsia="仿宋_GB2312" w:hAnsi="仿宋_GB2312" w:cs="仿宋_GB2312" w:hint="eastAsia"/>
          <w:color w:val="000000" w:themeColor="text1"/>
          <w:sz w:val="32"/>
          <w:szCs w:val="32"/>
        </w:rPr>
        <w:t>肺功能表现异常，包括限制性通气功能障碍和（或）气体交换障碍。</w:t>
      </w:r>
    </w:p>
    <w:p w:rsidR="00F45E96" w:rsidRDefault="00695B18" w:rsidP="007023BA">
      <w:pPr>
        <w:adjustRightInd w:val="0"/>
        <w:snapToGrid w:val="0"/>
        <w:spacing w:line="360" w:lineRule="auto"/>
        <w:ind w:firstLineChars="400" w:firstLine="128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 xml:space="preserve">5. </w:t>
      </w:r>
      <w:r>
        <w:rPr>
          <w:rFonts w:ascii="仿宋_GB2312" w:eastAsia="仿宋_GB2312" w:hAnsi="仿宋_GB2312" w:cs="仿宋_GB2312" w:hint="eastAsia"/>
          <w:color w:val="000000" w:themeColor="text1"/>
          <w:sz w:val="32"/>
          <w:szCs w:val="32"/>
        </w:rPr>
        <w:t>必要时进行肺活检病理检查。</w:t>
      </w:r>
    </w:p>
    <w:p w:rsidR="00661307" w:rsidRPr="0006031B" w:rsidRDefault="00442467" w:rsidP="007023BA">
      <w:pPr>
        <w:adjustRightInd w:val="0"/>
        <w:snapToGrid w:val="0"/>
        <w:spacing w:line="360" w:lineRule="auto"/>
        <w:ind w:firstLineChars="200" w:firstLine="643"/>
        <w:rPr>
          <w:rFonts w:ascii="仿宋_GB2312" w:eastAsia="仿宋_GB2312" w:hAnsi="仿宋_GB2312" w:cs="仿宋_GB2312"/>
          <w:b/>
          <w:color w:val="000000" w:themeColor="text1"/>
          <w:sz w:val="32"/>
          <w:szCs w:val="32"/>
        </w:rPr>
      </w:pPr>
      <w:r w:rsidRPr="0006031B">
        <w:rPr>
          <w:rFonts w:ascii="楷体_GB2312" w:eastAsia="楷体_GB2312" w:hAnsi="楷体_GB2312" w:cs="楷体_GB2312" w:hint="eastAsia"/>
          <w:b/>
          <w:color w:val="000000" w:themeColor="text1"/>
          <w:sz w:val="32"/>
          <w:szCs w:val="32"/>
        </w:rPr>
        <w:t>（三）治疗方案的选择</w:t>
      </w:r>
      <w:r w:rsidRPr="0006031B">
        <w:rPr>
          <w:rFonts w:ascii="仿宋_GB2312" w:eastAsia="仿宋_GB2312" w:hAnsi="仿宋_GB2312" w:cs="仿宋_GB2312" w:hint="eastAsia"/>
          <w:b/>
          <w:color w:val="000000" w:themeColor="text1"/>
          <w:sz w:val="32"/>
          <w:szCs w:val="32"/>
        </w:rPr>
        <w:t>。</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根据《临床诊疗指南-风湿病学分册》（中华医学会编著，人民卫生出版社），《干燥综合征诊断及治疗指南》（中华医学会风湿病学分会，2010年）</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1.一般治疗：休息，对症治疗。</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2.药物治疗：非甾体抗炎药、糖皮质激素、改变病情抗风湿药物（DMARDs）、植物制剂。</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3.其他治疗：IVIG、生物制剂等。</w:t>
      </w:r>
    </w:p>
    <w:p w:rsidR="00661307" w:rsidRPr="0006031B" w:rsidRDefault="00442467" w:rsidP="007023BA">
      <w:pPr>
        <w:adjustRightInd w:val="0"/>
        <w:snapToGrid w:val="0"/>
        <w:spacing w:line="360" w:lineRule="auto"/>
        <w:ind w:firstLineChars="200" w:firstLine="643"/>
        <w:rPr>
          <w:rFonts w:ascii="楷体_GB2312" w:eastAsia="楷体_GB2312" w:hAnsi="楷体_GB2312" w:cs="楷体_GB2312"/>
          <w:color w:val="000000" w:themeColor="text1"/>
          <w:sz w:val="32"/>
          <w:szCs w:val="32"/>
        </w:rPr>
      </w:pPr>
      <w:r w:rsidRPr="0006031B">
        <w:rPr>
          <w:rFonts w:ascii="楷体_GB2312" w:eastAsia="楷体_GB2312" w:hAnsi="楷体_GB2312" w:cs="楷体_GB2312" w:hint="eastAsia"/>
          <w:b/>
          <w:color w:val="000000" w:themeColor="text1"/>
          <w:sz w:val="32"/>
          <w:szCs w:val="32"/>
        </w:rPr>
        <w:t>（四）标准住院日：</w:t>
      </w:r>
      <w:r w:rsidRPr="0006031B">
        <w:rPr>
          <w:rFonts w:ascii="楷体_GB2312" w:eastAsia="楷体_GB2312" w:hAnsi="楷体_GB2312" w:cs="楷体_GB2312" w:hint="eastAsia"/>
          <w:color w:val="000000" w:themeColor="text1"/>
          <w:sz w:val="32"/>
          <w:szCs w:val="32"/>
        </w:rPr>
        <w:t>10-</w:t>
      </w:r>
      <w:r w:rsidR="00695B18">
        <w:rPr>
          <w:rFonts w:ascii="楷体_GB2312" w:eastAsia="楷体_GB2312" w:hAnsi="楷体_GB2312" w:cs="楷体_GB2312" w:hint="eastAsia"/>
          <w:color w:val="000000" w:themeColor="text1"/>
          <w:sz w:val="32"/>
          <w:szCs w:val="32"/>
        </w:rPr>
        <w:t>20</w:t>
      </w:r>
      <w:r w:rsidRPr="0006031B">
        <w:rPr>
          <w:rFonts w:ascii="楷体_GB2312" w:eastAsia="楷体_GB2312" w:hAnsi="楷体_GB2312" w:cs="楷体_GB2312" w:hint="eastAsia"/>
          <w:color w:val="000000" w:themeColor="text1"/>
          <w:sz w:val="32"/>
          <w:szCs w:val="32"/>
        </w:rPr>
        <w:t>天。</w:t>
      </w:r>
    </w:p>
    <w:p w:rsidR="00661307" w:rsidRPr="0006031B" w:rsidRDefault="00442467" w:rsidP="007023BA">
      <w:pPr>
        <w:adjustRightInd w:val="0"/>
        <w:snapToGrid w:val="0"/>
        <w:spacing w:line="360" w:lineRule="auto"/>
        <w:ind w:firstLineChars="200" w:firstLine="643"/>
        <w:rPr>
          <w:rFonts w:ascii="楷体_GB2312" w:eastAsia="楷体_GB2312" w:hAnsi="楷体_GB2312" w:cs="楷体_GB2312"/>
          <w:b/>
          <w:color w:val="000000" w:themeColor="text1"/>
          <w:sz w:val="32"/>
          <w:szCs w:val="32"/>
        </w:rPr>
      </w:pPr>
      <w:r w:rsidRPr="0006031B">
        <w:rPr>
          <w:rFonts w:ascii="楷体_GB2312" w:eastAsia="楷体_GB2312" w:hAnsi="楷体_GB2312" w:cs="楷体_GB2312" w:hint="eastAsia"/>
          <w:b/>
          <w:color w:val="000000" w:themeColor="text1"/>
          <w:sz w:val="32"/>
          <w:szCs w:val="32"/>
        </w:rPr>
        <w:t>（五）进入路径标准。</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1.第一诊断必须符合ICD-10：</w:t>
      </w:r>
      <w:r w:rsidR="007C4369" w:rsidRPr="007C4369">
        <w:rPr>
          <w:rFonts w:ascii="仿宋_GB2312" w:eastAsia="仿宋_GB2312" w:hAnsi="仿宋_GB2312" w:cs="仿宋_GB2312" w:hint="eastAsia"/>
          <w:color w:val="000000" w:themeColor="text1"/>
          <w:sz w:val="32"/>
          <w:szCs w:val="32"/>
        </w:rPr>
        <w:t xml:space="preserve"> M35.002+J99.1*</w:t>
      </w:r>
      <w:r w:rsidRPr="0006031B">
        <w:rPr>
          <w:rFonts w:ascii="仿宋_GB2312" w:eastAsia="仿宋_GB2312" w:hAnsi="仿宋_GB2312" w:cs="仿宋_GB2312" w:hint="eastAsia"/>
          <w:color w:val="000000" w:themeColor="text1"/>
          <w:sz w:val="32"/>
          <w:szCs w:val="32"/>
        </w:rPr>
        <w:t>干燥综合征伴肺间质纤维化疾病编码。</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2.当患者同时具有其他疾病诊断，但在住院期间不需要特殊处理也不影响第一诊断的临床路径流程实施时，可以进入路径。</w:t>
      </w:r>
    </w:p>
    <w:p w:rsidR="00661307" w:rsidRPr="0006031B" w:rsidRDefault="00442467" w:rsidP="007023BA">
      <w:pPr>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lastRenderedPageBreak/>
        <w:t>3.有明显影响干燥综合征常规治疗的情况，不进入</w:t>
      </w:r>
      <w:r w:rsidR="00695B18">
        <w:rPr>
          <w:rFonts w:ascii="仿宋_GB2312" w:eastAsia="仿宋_GB2312" w:hAnsi="仿宋_GB2312" w:cs="仿宋_GB2312" w:hint="eastAsia"/>
          <w:color w:val="000000" w:themeColor="text1"/>
          <w:sz w:val="32"/>
          <w:szCs w:val="32"/>
        </w:rPr>
        <w:t>本</w:t>
      </w:r>
      <w:r w:rsidRPr="0006031B">
        <w:rPr>
          <w:rFonts w:ascii="仿宋_GB2312" w:eastAsia="仿宋_GB2312" w:hAnsi="仿宋_GB2312" w:cs="仿宋_GB2312" w:hint="eastAsia"/>
          <w:color w:val="000000" w:themeColor="text1"/>
          <w:sz w:val="32"/>
          <w:szCs w:val="32"/>
        </w:rPr>
        <w:t>临床路径。</w:t>
      </w:r>
    </w:p>
    <w:p w:rsidR="00661307" w:rsidRPr="0006031B" w:rsidRDefault="00442467" w:rsidP="007023BA">
      <w:pPr>
        <w:adjustRightInd w:val="0"/>
        <w:snapToGrid w:val="0"/>
        <w:spacing w:line="360" w:lineRule="auto"/>
        <w:ind w:firstLineChars="200" w:firstLine="643"/>
        <w:rPr>
          <w:rFonts w:ascii="楷体_GB2312" w:eastAsia="楷体_GB2312" w:hAnsi="楷体_GB2312" w:cs="楷体_GB2312"/>
          <w:b/>
          <w:color w:val="000000" w:themeColor="text1"/>
          <w:sz w:val="32"/>
          <w:szCs w:val="32"/>
        </w:rPr>
      </w:pPr>
      <w:r w:rsidRPr="0006031B">
        <w:rPr>
          <w:rFonts w:ascii="楷体_GB2312" w:eastAsia="楷体_GB2312" w:hAnsi="楷体_GB2312" w:cs="楷体_GB2312" w:hint="eastAsia"/>
          <w:b/>
          <w:color w:val="000000" w:themeColor="text1"/>
          <w:sz w:val="32"/>
          <w:szCs w:val="32"/>
        </w:rPr>
        <w:t>（六）住院期间的检查项目。</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1.必需的检查项目：</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（1）血常规、尿常规、大便常规；</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（2）肝肾功能、血糖、血脂、电解质、红细胞沉降率（ESR）、C反应蛋白（CRP）、凝血功能、感染性疾病筛查（乙肝、丙肝、梅毒、艾滋病等）；</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（3）抗核抗体谱、类风湿因子、抗CCP抗体、免疫球蛋白及补体、病毒全套；</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（4）心电图、心脏彩超、胸部HRCT、肺功能、肝胆胰脾彩超、骨密度；</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2.根据患者病情可选择进行：自免肝</w:t>
      </w:r>
      <w:r w:rsidR="00695B18">
        <w:rPr>
          <w:rFonts w:ascii="仿宋_GB2312" w:eastAsia="仿宋_GB2312" w:hAnsi="仿宋_GB2312" w:cs="仿宋_GB2312" w:hint="eastAsia"/>
          <w:color w:val="000000" w:themeColor="text1"/>
          <w:sz w:val="32"/>
          <w:szCs w:val="32"/>
        </w:rPr>
        <w:t>相关</w:t>
      </w:r>
      <w:r w:rsidRPr="0006031B">
        <w:rPr>
          <w:rFonts w:ascii="仿宋_GB2312" w:eastAsia="仿宋_GB2312" w:hAnsi="仿宋_GB2312" w:cs="仿宋_GB2312" w:hint="eastAsia"/>
          <w:color w:val="000000" w:themeColor="text1"/>
          <w:sz w:val="32"/>
          <w:szCs w:val="32"/>
        </w:rPr>
        <w:t>抗体</w:t>
      </w:r>
      <w:r w:rsidR="00695B18">
        <w:rPr>
          <w:rFonts w:ascii="仿宋_GB2312" w:eastAsia="仿宋_GB2312" w:hAnsi="仿宋_GB2312" w:cs="仿宋_GB2312" w:hint="eastAsia"/>
          <w:color w:val="000000" w:themeColor="text1"/>
          <w:sz w:val="32"/>
          <w:szCs w:val="32"/>
        </w:rPr>
        <w:t>谱</w:t>
      </w:r>
      <w:r w:rsidRPr="0006031B">
        <w:rPr>
          <w:rFonts w:ascii="仿宋_GB2312" w:eastAsia="仿宋_GB2312" w:hAnsi="仿宋_GB2312" w:cs="仿宋_GB2312" w:hint="eastAsia"/>
          <w:color w:val="000000" w:themeColor="text1"/>
          <w:sz w:val="32"/>
          <w:szCs w:val="32"/>
        </w:rPr>
        <w:t>、</w:t>
      </w:r>
      <w:r w:rsidR="00695B18" w:rsidRPr="0006031B">
        <w:rPr>
          <w:rFonts w:ascii="仿宋_GB2312" w:eastAsia="仿宋_GB2312" w:hAnsi="仿宋_GB2312" w:cs="仿宋_GB2312" w:hint="eastAsia"/>
          <w:color w:val="000000" w:themeColor="text1"/>
          <w:sz w:val="32"/>
          <w:szCs w:val="32"/>
        </w:rPr>
        <w:t>KL-6、</w:t>
      </w:r>
      <w:r w:rsidRPr="0006031B">
        <w:rPr>
          <w:rFonts w:ascii="仿宋_GB2312" w:eastAsia="仿宋_GB2312" w:hAnsi="仿宋_GB2312" w:cs="仿宋_GB2312" w:hint="eastAsia"/>
          <w:color w:val="000000" w:themeColor="text1"/>
          <w:sz w:val="32"/>
          <w:szCs w:val="32"/>
        </w:rPr>
        <w:t>抗磷脂抗体谱、血气分析、肾小管酸化功能、溶血试验、泌尿系彩超和磁共振检查、HBV-DNA、HCV-RNA、PCT、C13呼气试验、消化内镜检查。</w:t>
      </w:r>
    </w:p>
    <w:p w:rsidR="00661307" w:rsidRPr="0006031B" w:rsidRDefault="00442467" w:rsidP="007023BA">
      <w:pPr>
        <w:adjustRightInd w:val="0"/>
        <w:snapToGrid w:val="0"/>
        <w:spacing w:line="360" w:lineRule="auto"/>
        <w:ind w:firstLineChars="200" w:firstLine="643"/>
        <w:rPr>
          <w:rFonts w:ascii="楷体_GB2312" w:eastAsia="楷体_GB2312" w:hAnsi="楷体_GB2312" w:cs="楷体_GB2312"/>
          <w:b/>
          <w:color w:val="000000" w:themeColor="text1"/>
          <w:sz w:val="32"/>
          <w:szCs w:val="32"/>
        </w:rPr>
      </w:pPr>
      <w:r w:rsidRPr="0006031B">
        <w:rPr>
          <w:rFonts w:ascii="楷体_GB2312" w:eastAsia="楷体_GB2312" w:hAnsi="楷体_GB2312" w:cs="楷体_GB2312" w:hint="eastAsia"/>
          <w:b/>
          <w:color w:val="000000" w:themeColor="text1"/>
          <w:sz w:val="32"/>
          <w:szCs w:val="32"/>
        </w:rPr>
        <w:t>（七）治疗方案与药物选择。</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1、一般治疗：休息，氧疗，针对口眼干燥对症治疗，纠正低钾、改善外分泌腺体功能。</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2、药物治疗：非甾体抗炎药（水杨酸类、吲哚衍生物类），糖皮质激素，</w:t>
      </w:r>
      <w:r w:rsidR="00CB79B0">
        <w:rPr>
          <w:rFonts w:ascii="仿宋_GB2312" w:eastAsia="仿宋_GB2312" w:hAnsi="仿宋_GB2312" w:cs="仿宋_GB2312" w:hint="eastAsia"/>
          <w:color w:val="000000" w:themeColor="text1"/>
          <w:sz w:val="32"/>
          <w:szCs w:val="32"/>
        </w:rPr>
        <w:t>免疫抑制剂</w:t>
      </w:r>
      <w:r w:rsidRPr="0006031B">
        <w:rPr>
          <w:rFonts w:ascii="仿宋_GB2312" w:eastAsia="仿宋_GB2312" w:hAnsi="仿宋_GB2312" w:cs="仿宋_GB2312" w:hint="eastAsia"/>
          <w:color w:val="000000" w:themeColor="text1"/>
          <w:sz w:val="32"/>
          <w:szCs w:val="32"/>
        </w:rPr>
        <w:t>（抗疟药、环磷酰胺、甲氨蝶呤、硫唑嘌呤、环孢素等），</w:t>
      </w:r>
      <w:r w:rsidR="00695B18">
        <w:rPr>
          <w:rFonts w:ascii="仿宋_GB2312" w:eastAsia="仿宋_GB2312" w:hAnsi="仿宋_GB2312" w:cs="仿宋_GB2312" w:hint="eastAsia"/>
          <w:color w:val="000000" w:themeColor="text1"/>
          <w:sz w:val="32"/>
          <w:szCs w:val="32"/>
        </w:rPr>
        <w:t>抗纤维化药物（匹非尼酮）、</w:t>
      </w:r>
      <w:r w:rsidR="00695B18">
        <w:rPr>
          <w:rFonts w:ascii="仿宋_GB2312" w:eastAsia="仿宋_GB2312" w:hAnsi="仿宋_GB2312" w:cs="仿宋_GB2312" w:hint="eastAsia"/>
          <w:color w:val="000000" w:themeColor="text1"/>
          <w:sz w:val="32"/>
          <w:szCs w:val="32"/>
        </w:rPr>
        <w:lastRenderedPageBreak/>
        <w:t>抗氧化药物（乙酰半胱氨酸）、</w:t>
      </w:r>
      <w:r w:rsidRPr="0006031B">
        <w:rPr>
          <w:rFonts w:ascii="仿宋_GB2312" w:eastAsia="仿宋_GB2312" w:hAnsi="仿宋_GB2312" w:cs="仿宋_GB2312" w:hint="eastAsia"/>
          <w:color w:val="000000" w:themeColor="text1"/>
          <w:sz w:val="32"/>
          <w:szCs w:val="32"/>
        </w:rPr>
        <w:t>植物制剂（白芍总苷），生物</w:t>
      </w:r>
      <w:r w:rsidR="00695B18">
        <w:rPr>
          <w:rFonts w:ascii="仿宋_GB2312" w:eastAsia="仿宋_GB2312" w:hAnsi="仿宋_GB2312" w:cs="仿宋_GB2312" w:hint="eastAsia"/>
          <w:color w:val="000000" w:themeColor="text1"/>
          <w:sz w:val="32"/>
          <w:szCs w:val="32"/>
        </w:rPr>
        <w:t>生物靶向</w:t>
      </w:r>
      <w:r w:rsidRPr="0006031B">
        <w:rPr>
          <w:rFonts w:ascii="仿宋_GB2312" w:eastAsia="仿宋_GB2312" w:hAnsi="仿宋_GB2312" w:cs="仿宋_GB2312" w:hint="eastAsia"/>
          <w:color w:val="000000" w:themeColor="text1"/>
          <w:sz w:val="32"/>
          <w:szCs w:val="32"/>
        </w:rPr>
        <w:t>制剂、IVIG。</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3、必要时抗感染、保护胃黏膜、保肝、防治骨质疏松等治疗。</w:t>
      </w:r>
    </w:p>
    <w:p w:rsidR="00661307" w:rsidRPr="0006031B" w:rsidRDefault="00442467" w:rsidP="007023BA">
      <w:pPr>
        <w:adjustRightInd w:val="0"/>
        <w:snapToGrid w:val="0"/>
        <w:spacing w:line="360" w:lineRule="auto"/>
        <w:ind w:firstLineChars="200" w:firstLine="643"/>
        <w:rPr>
          <w:rFonts w:ascii="仿宋_GB2312" w:eastAsia="仿宋_GB2312" w:hAnsi="仿宋_GB2312" w:cs="仿宋_GB2312"/>
          <w:b/>
          <w:color w:val="000000" w:themeColor="text1"/>
          <w:sz w:val="32"/>
          <w:szCs w:val="32"/>
        </w:rPr>
      </w:pPr>
      <w:r w:rsidRPr="0006031B">
        <w:rPr>
          <w:rFonts w:ascii="楷体_GB2312" w:eastAsia="楷体_GB2312" w:hAnsi="楷体_GB2312" w:cs="楷体_GB2312" w:hint="eastAsia"/>
          <w:b/>
          <w:color w:val="000000" w:themeColor="text1"/>
          <w:sz w:val="32"/>
          <w:szCs w:val="32"/>
        </w:rPr>
        <w:t>（八）出院标准</w:t>
      </w:r>
      <w:r w:rsidRPr="0006031B">
        <w:rPr>
          <w:rFonts w:ascii="仿宋_GB2312" w:eastAsia="仿宋_GB2312" w:hAnsi="仿宋_GB2312" w:cs="仿宋_GB2312" w:hint="eastAsia"/>
          <w:b/>
          <w:color w:val="000000" w:themeColor="text1"/>
          <w:sz w:val="32"/>
          <w:szCs w:val="32"/>
        </w:rPr>
        <w:t>。</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1.症状明显缓解。</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2.病情稳定。</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3.没有需要继续住院治疗的合并症和/或并发症。</w:t>
      </w:r>
    </w:p>
    <w:p w:rsidR="00661307" w:rsidRPr="0006031B" w:rsidRDefault="00442467" w:rsidP="007023BA">
      <w:pPr>
        <w:adjustRightInd w:val="0"/>
        <w:snapToGrid w:val="0"/>
        <w:spacing w:line="360" w:lineRule="auto"/>
        <w:ind w:firstLineChars="200" w:firstLine="643"/>
        <w:rPr>
          <w:rFonts w:ascii="楷体_GB2312" w:eastAsia="楷体_GB2312" w:hAnsi="楷体_GB2312" w:cs="楷体_GB2312"/>
          <w:b/>
          <w:color w:val="000000" w:themeColor="text1"/>
          <w:sz w:val="32"/>
          <w:szCs w:val="32"/>
        </w:rPr>
      </w:pPr>
      <w:r w:rsidRPr="0006031B">
        <w:rPr>
          <w:rFonts w:ascii="楷体_GB2312" w:eastAsia="楷体_GB2312" w:hAnsi="楷体_GB2312" w:cs="楷体_GB2312" w:hint="eastAsia"/>
          <w:b/>
          <w:color w:val="000000" w:themeColor="text1"/>
          <w:sz w:val="32"/>
          <w:szCs w:val="32"/>
        </w:rPr>
        <w:t>（九）变异及原因分析。</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1.伴有其他疾病，需要进行相关诊断和治疗，导致住院时间延长。</w:t>
      </w:r>
    </w:p>
    <w:p w:rsidR="00661307" w:rsidRPr="0006031B" w:rsidRDefault="00442467" w:rsidP="007023BA">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2.治疗无效或者病情进展，需要进行相关诊断和治疗，导致住院时间延长。</w:t>
      </w:r>
    </w:p>
    <w:p w:rsidR="00661307" w:rsidRPr="0006031B" w:rsidRDefault="00442467" w:rsidP="007023BA">
      <w:pPr>
        <w:adjustRightInd w:val="0"/>
        <w:snapToGrid w:val="0"/>
        <w:spacing w:line="360" w:lineRule="auto"/>
        <w:ind w:leftChars="67" w:left="141" w:firstLineChars="150" w:firstLine="480"/>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t>3.伴有影响本病治疗效果的合并症和并发症，需要进行相关诊断和治疗。</w:t>
      </w:r>
    </w:p>
    <w:p w:rsidR="00661307" w:rsidRPr="0006031B" w:rsidRDefault="00442467" w:rsidP="007023BA">
      <w:pPr>
        <w:widowControl/>
        <w:spacing w:line="360" w:lineRule="auto"/>
        <w:jc w:val="left"/>
        <w:rPr>
          <w:rFonts w:ascii="仿宋_GB2312" w:eastAsia="仿宋_GB2312" w:hAnsi="仿宋_GB2312" w:cs="仿宋_GB2312"/>
          <w:color w:val="000000" w:themeColor="text1"/>
          <w:sz w:val="32"/>
          <w:szCs w:val="32"/>
        </w:rPr>
      </w:pPr>
      <w:r w:rsidRPr="0006031B">
        <w:rPr>
          <w:rFonts w:ascii="仿宋_GB2312" w:eastAsia="仿宋_GB2312" w:hAnsi="仿宋_GB2312" w:cs="仿宋_GB2312" w:hint="eastAsia"/>
          <w:color w:val="000000" w:themeColor="text1"/>
          <w:sz w:val="32"/>
          <w:szCs w:val="32"/>
        </w:rPr>
        <w:br w:type="page"/>
      </w:r>
    </w:p>
    <w:p w:rsidR="00661307" w:rsidRPr="007023BA" w:rsidRDefault="00442467" w:rsidP="005D462E">
      <w:pPr>
        <w:tabs>
          <w:tab w:val="left" w:pos="6945"/>
        </w:tabs>
        <w:adjustRightInd w:val="0"/>
        <w:snapToGrid w:val="0"/>
        <w:spacing w:line="360" w:lineRule="auto"/>
        <w:rPr>
          <w:rFonts w:ascii="黑体" w:eastAsia="黑体"/>
          <w:color w:val="000000"/>
          <w:sz w:val="32"/>
          <w:szCs w:val="32"/>
          <w:lang w:val="en-GB"/>
        </w:rPr>
      </w:pPr>
      <w:r w:rsidRPr="007023BA">
        <w:rPr>
          <w:rFonts w:ascii="黑体" w:eastAsia="黑体" w:hint="eastAsia"/>
          <w:color w:val="000000"/>
          <w:sz w:val="32"/>
          <w:szCs w:val="32"/>
          <w:lang w:val="en-GB"/>
        </w:rPr>
        <w:lastRenderedPageBreak/>
        <w:t>二、干燥综合征伴肺间质纤维化临床路径表单</w:t>
      </w:r>
    </w:p>
    <w:p w:rsidR="00661307" w:rsidRPr="0006031B" w:rsidRDefault="00442467" w:rsidP="00D107E6">
      <w:pPr>
        <w:adjustRightInd w:val="0"/>
        <w:snapToGrid w:val="0"/>
        <w:rPr>
          <w:rFonts w:ascii="仿宋_GB2312" w:eastAsia="仿宋_GB2312" w:hAnsi="Arial" w:cs="Arial"/>
          <w:color w:val="000000" w:themeColor="text1"/>
          <w:sz w:val="32"/>
          <w:szCs w:val="32"/>
        </w:rPr>
      </w:pPr>
      <w:r w:rsidRPr="0006031B">
        <w:rPr>
          <w:rFonts w:ascii="宋体" w:hAnsi="宋体" w:hint="eastAsia"/>
          <w:color w:val="000000" w:themeColor="text1"/>
          <w:szCs w:val="21"/>
        </w:rPr>
        <w:t>适用对象：</w:t>
      </w:r>
      <w:r w:rsidRPr="0006031B">
        <w:rPr>
          <w:rFonts w:ascii="宋体" w:hAnsi="宋体" w:hint="eastAsia"/>
          <w:b/>
          <w:bCs/>
          <w:color w:val="000000" w:themeColor="text1"/>
          <w:szCs w:val="21"/>
        </w:rPr>
        <w:t>第一诊断为</w:t>
      </w:r>
      <w:r w:rsidRPr="0006031B">
        <w:rPr>
          <w:rFonts w:ascii="宋体" w:hAnsi="宋体" w:hint="eastAsia"/>
          <w:color w:val="000000" w:themeColor="text1"/>
          <w:szCs w:val="21"/>
        </w:rPr>
        <w:t>干燥综合征伴肺间质纤维化</w:t>
      </w:r>
      <w:r w:rsidR="007C4369" w:rsidRPr="007C4369">
        <w:rPr>
          <w:rFonts w:ascii="宋体" w:hAnsi="宋体" w:hint="eastAsia"/>
          <w:color w:val="000000" w:themeColor="text1"/>
          <w:szCs w:val="21"/>
        </w:rPr>
        <w:t>（ICD-10：M35.002+J99.1*）</w:t>
      </w:r>
      <w:r w:rsidRPr="0006031B">
        <w:rPr>
          <w:rFonts w:ascii="宋体" w:hAnsi="宋体" w:hint="eastAsia"/>
          <w:color w:val="000000" w:themeColor="text1"/>
          <w:szCs w:val="21"/>
        </w:rPr>
        <w:t>。</w:t>
      </w:r>
    </w:p>
    <w:p w:rsidR="00661307" w:rsidRPr="0006031B" w:rsidRDefault="00442467" w:rsidP="00D107E6">
      <w:pPr>
        <w:rPr>
          <w:rFonts w:ascii="宋体" w:hAnsi="宋体"/>
          <w:color w:val="000000" w:themeColor="text1"/>
          <w:szCs w:val="21"/>
        </w:rPr>
      </w:pPr>
      <w:r w:rsidRPr="0006031B">
        <w:rPr>
          <w:rFonts w:ascii="宋体" w:hAnsi="宋体" w:hint="eastAsia"/>
          <w:color w:val="000000" w:themeColor="text1"/>
          <w:szCs w:val="21"/>
        </w:rPr>
        <w:t>患者姓名：</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性别：</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年龄：</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门诊号：</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住院号：</w:t>
      </w:r>
    </w:p>
    <w:p w:rsidR="00661307" w:rsidRPr="0006031B" w:rsidRDefault="00442467" w:rsidP="00D107E6">
      <w:pPr>
        <w:rPr>
          <w:rFonts w:ascii="宋体" w:hAnsi="宋体"/>
          <w:color w:val="000000" w:themeColor="text1"/>
          <w:szCs w:val="21"/>
        </w:rPr>
      </w:pPr>
      <w:r w:rsidRPr="0006031B">
        <w:rPr>
          <w:rFonts w:ascii="宋体" w:hAnsi="宋体" w:hint="eastAsia"/>
          <w:color w:val="000000" w:themeColor="text1"/>
          <w:szCs w:val="21"/>
        </w:rPr>
        <w:t>住院日期：</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年</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月</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日</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出院日期：</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年</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月</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 xml:space="preserve">日   </w:t>
      </w:r>
      <w:r w:rsidR="007023BA">
        <w:rPr>
          <w:rFonts w:ascii="宋体" w:hAnsi="宋体" w:hint="eastAsia"/>
          <w:color w:val="000000" w:themeColor="text1"/>
          <w:szCs w:val="21"/>
        </w:rPr>
        <w:t xml:space="preserve"> </w:t>
      </w:r>
      <w:r w:rsidRPr="0006031B">
        <w:rPr>
          <w:rFonts w:ascii="宋体" w:hAnsi="宋体" w:hint="eastAsia"/>
          <w:color w:val="000000" w:themeColor="text1"/>
          <w:szCs w:val="21"/>
        </w:rPr>
        <w:t>标准住院日：10-</w:t>
      </w:r>
      <w:r w:rsidR="00695B18">
        <w:rPr>
          <w:rFonts w:ascii="宋体" w:hAnsi="宋体" w:hint="eastAsia"/>
          <w:color w:val="000000" w:themeColor="text1"/>
          <w:szCs w:val="21"/>
        </w:rPr>
        <w:t>20</w:t>
      </w:r>
      <w:r w:rsidRPr="0006031B">
        <w:rPr>
          <w:rFonts w:ascii="宋体" w:hAnsi="宋体" w:hint="eastAsia"/>
          <w:color w:val="000000" w:themeColor="text1"/>
          <w:szCs w:val="21"/>
        </w:rPr>
        <w:t>天</w:t>
      </w:r>
    </w:p>
    <w:tbl>
      <w:tblPr>
        <w:tblW w:w="971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789"/>
        <w:gridCol w:w="2749"/>
        <w:gridCol w:w="3119"/>
        <w:gridCol w:w="3055"/>
      </w:tblGrid>
      <w:tr w:rsidR="00661307" w:rsidRPr="0006031B" w:rsidTr="005D462E">
        <w:trPr>
          <w:trHeight w:hRule="exact" w:val="481"/>
        </w:trPr>
        <w:tc>
          <w:tcPr>
            <w:tcW w:w="789" w:type="dxa"/>
            <w:tcBorders>
              <w:top w:val="double" w:sz="4" w:space="0" w:color="auto"/>
              <w:left w:val="double" w:sz="4" w:space="0" w:color="auto"/>
              <w:bottom w:val="double" w:sz="4" w:space="0" w:color="auto"/>
              <w:right w:val="double" w:sz="4" w:space="0" w:color="auto"/>
            </w:tcBorders>
            <w:vAlign w:val="center"/>
          </w:tcPr>
          <w:p w:rsidR="00661307" w:rsidRPr="007023BA" w:rsidRDefault="00442467" w:rsidP="007023BA">
            <w:pPr>
              <w:spacing w:line="260" w:lineRule="exact"/>
              <w:jc w:val="center"/>
              <w:rPr>
                <w:rFonts w:ascii="宋体" w:hAnsi="宋体"/>
                <w:bCs/>
                <w:color w:val="000000" w:themeColor="text1"/>
                <w:sz w:val="18"/>
                <w:szCs w:val="18"/>
              </w:rPr>
            </w:pPr>
            <w:r w:rsidRPr="007023BA">
              <w:rPr>
                <w:rFonts w:ascii="黑体" w:eastAsia="黑体" w:hAnsi="黑体" w:cs="黑体" w:hint="eastAsia"/>
                <w:bCs/>
                <w:color w:val="000000" w:themeColor="text1"/>
                <w:szCs w:val="21"/>
              </w:rPr>
              <w:t>日期</w:t>
            </w:r>
          </w:p>
        </w:tc>
        <w:tc>
          <w:tcPr>
            <w:tcW w:w="2749" w:type="dxa"/>
            <w:tcBorders>
              <w:top w:val="double" w:sz="4" w:space="0" w:color="auto"/>
              <w:left w:val="double" w:sz="4" w:space="0" w:color="auto"/>
              <w:bottom w:val="double" w:sz="4" w:space="0" w:color="auto"/>
              <w:right w:val="double" w:sz="4" w:space="0" w:color="auto"/>
            </w:tcBorders>
            <w:vAlign w:val="center"/>
          </w:tcPr>
          <w:p w:rsidR="00661307" w:rsidRPr="007023BA" w:rsidRDefault="00442467" w:rsidP="007023BA">
            <w:pPr>
              <w:spacing w:line="260" w:lineRule="exact"/>
              <w:jc w:val="center"/>
              <w:rPr>
                <w:rFonts w:ascii="黑体" w:eastAsia="黑体" w:hAnsi="黑体" w:cs="黑体"/>
                <w:bCs/>
                <w:color w:val="000000" w:themeColor="text1"/>
                <w:szCs w:val="21"/>
              </w:rPr>
            </w:pPr>
            <w:r w:rsidRPr="007023BA">
              <w:rPr>
                <w:rFonts w:ascii="黑体" w:eastAsia="黑体" w:hAnsi="黑体" w:cs="黑体" w:hint="eastAsia"/>
                <w:bCs/>
                <w:color w:val="000000" w:themeColor="text1"/>
                <w:szCs w:val="21"/>
              </w:rPr>
              <w:t>住院第1天</w:t>
            </w:r>
          </w:p>
        </w:tc>
        <w:tc>
          <w:tcPr>
            <w:tcW w:w="3119" w:type="dxa"/>
            <w:tcBorders>
              <w:top w:val="double" w:sz="4" w:space="0" w:color="auto"/>
              <w:left w:val="double" w:sz="4" w:space="0" w:color="auto"/>
              <w:bottom w:val="double" w:sz="4" w:space="0" w:color="auto"/>
              <w:right w:val="double" w:sz="4" w:space="0" w:color="auto"/>
            </w:tcBorders>
            <w:vAlign w:val="center"/>
          </w:tcPr>
          <w:p w:rsidR="00661307" w:rsidRPr="007023BA" w:rsidRDefault="00442467" w:rsidP="007023BA">
            <w:pPr>
              <w:spacing w:line="260" w:lineRule="exact"/>
              <w:jc w:val="center"/>
              <w:rPr>
                <w:rFonts w:ascii="黑体" w:eastAsia="黑体" w:hAnsi="黑体" w:cs="黑体"/>
                <w:bCs/>
                <w:color w:val="000000" w:themeColor="text1"/>
                <w:szCs w:val="21"/>
              </w:rPr>
            </w:pPr>
            <w:r w:rsidRPr="007023BA">
              <w:rPr>
                <w:rFonts w:ascii="黑体" w:eastAsia="黑体" w:hAnsi="黑体" w:cs="黑体" w:hint="eastAsia"/>
                <w:bCs/>
                <w:color w:val="000000" w:themeColor="text1"/>
                <w:szCs w:val="21"/>
              </w:rPr>
              <w:t>住院第2天</w:t>
            </w:r>
          </w:p>
        </w:tc>
        <w:tc>
          <w:tcPr>
            <w:tcW w:w="3055" w:type="dxa"/>
            <w:tcBorders>
              <w:top w:val="double" w:sz="4" w:space="0" w:color="auto"/>
              <w:left w:val="double" w:sz="4" w:space="0" w:color="auto"/>
              <w:bottom w:val="double" w:sz="4" w:space="0" w:color="auto"/>
              <w:right w:val="double" w:sz="4" w:space="0" w:color="auto"/>
            </w:tcBorders>
            <w:vAlign w:val="center"/>
          </w:tcPr>
          <w:p w:rsidR="00661307" w:rsidRPr="007023BA" w:rsidRDefault="00442467" w:rsidP="007023BA">
            <w:pPr>
              <w:spacing w:line="260" w:lineRule="exact"/>
              <w:jc w:val="center"/>
              <w:rPr>
                <w:rFonts w:ascii="黑体" w:eastAsia="黑体" w:hAnsi="黑体" w:cs="黑体"/>
                <w:bCs/>
                <w:color w:val="000000" w:themeColor="text1"/>
                <w:szCs w:val="21"/>
              </w:rPr>
            </w:pPr>
            <w:r w:rsidRPr="007023BA">
              <w:rPr>
                <w:rFonts w:ascii="黑体" w:eastAsia="黑体" w:hAnsi="黑体" w:cs="黑体" w:hint="eastAsia"/>
                <w:bCs/>
                <w:color w:val="000000" w:themeColor="text1"/>
                <w:szCs w:val="21"/>
              </w:rPr>
              <w:t>住院第3–10天</w:t>
            </w:r>
          </w:p>
        </w:tc>
      </w:tr>
      <w:tr w:rsidR="00661307" w:rsidRPr="0006031B" w:rsidTr="005D462E">
        <w:trPr>
          <w:trHeight w:val="2237"/>
        </w:trPr>
        <w:tc>
          <w:tcPr>
            <w:tcW w:w="789" w:type="dxa"/>
            <w:tcBorders>
              <w:top w:val="double" w:sz="4" w:space="0" w:color="auto"/>
              <w:left w:val="single" w:sz="6" w:space="0" w:color="auto"/>
              <w:bottom w:val="single" w:sz="4"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主</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要</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诊</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疗</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工</w:t>
            </w:r>
          </w:p>
          <w:p w:rsidR="00661307" w:rsidRPr="007023BA" w:rsidRDefault="00442467" w:rsidP="007023BA">
            <w:pPr>
              <w:spacing w:line="260" w:lineRule="exact"/>
              <w:jc w:val="center"/>
              <w:rPr>
                <w:rFonts w:ascii="黑体" w:eastAsia="黑体" w:hAnsi="黑体" w:cs="黑体"/>
                <w:color w:val="000000" w:themeColor="text1"/>
                <w:szCs w:val="21"/>
                <w:u w:val="single"/>
              </w:rPr>
            </w:pPr>
            <w:r w:rsidRPr="007023BA">
              <w:rPr>
                <w:rFonts w:ascii="黑体" w:eastAsia="黑体" w:hAnsi="黑体" w:cs="黑体" w:hint="eastAsia"/>
                <w:color w:val="000000" w:themeColor="text1"/>
                <w:szCs w:val="21"/>
              </w:rPr>
              <w:t>作</w:t>
            </w:r>
          </w:p>
        </w:tc>
        <w:tc>
          <w:tcPr>
            <w:tcW w:w="2749" w:type="dxa"/>
            <w:tcBorders>
              <w:top w:val="double" w:sz="4" w:space="0" w:color="auto"/>
              <w:left w:val="single" w:sz="4" w:space="0" w:color="auto"/>
              <w:bottom w:val="single" w:sz="4" w:space="0" w:color="auto"/>
              <w:right w:val="single" w:sz="4" w:space="0" w:color="auto"/>
            </w:tcBorders>
          </w:tcPr>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询问病史及体格检查</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进行病情初步评估</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完成病历书写</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开化验单</w:t>
            </w:r>
          </w:p>
        </w:tc>
        <w:tc>
          <w:tcPr>
            <w:tcW w:w="3119" w:type="dxa"/>
            <w:tcBorders>
              <w:top w:val="double" w:sz="4" w:space="0" w:color="auto"/>
              <w:left w:val="single" w:sz="4" w:space="0" w:color="auto"/>
              <w:bottom w:val="single" w:sz="4" w:space="0" w:color="auto"/>
              <w:right w:val="single" w:sz="4" w:space="0" w:color="auto"/>
            </w:tcBorders>
          </w:tcPr>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上级医师查房</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分析病情，初步诊断，制定诊疗计划</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根据病情调整基础用药</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申请相关科室会诊</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向患者及家属交待病情</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签署各种必要的知情同意书、自费用品协议书</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必要时协助患者完成检查</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书写病程记录</w:t>
            </w:r>
          </w:p>
        </w:tc>
        <w:tc>
          <w:tcPr>
            <w:tcW w:w="3055" w:type="dxa"/>
            <w:tcBorders>
              <w:top w:val="double" w:sz="4" w:space="0" w:color="auto"/>
              <w:left w:val="single" w:sz="4" w:space="0" w:color="auto"/>
              <w:bottom w:val="single" w:sz="4" w:space="0" w:color="auto"/>
              <w:right w:val="single" w:sz="6" w:space="0" w:color="auto"/>
            </w:tcBorders>
          </w:tcPr>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上级医师查房</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评估检查结果，明确诊断</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病情评估，根据病情调整治疗方案</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观察药物不良反应</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确认有无并发症</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书写病程记录</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必要时完成诊断证明书</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患者教育</w:t>
            </w:r>
          </w:p>
        </w:tc>
      </w:tr>
      <w:tr w:rsidR="00661307" w:rsidRPr="0006031B" w:rsidTr="005D462E">
        <w:trPr>
          <w:trHeight w:val="557"/>
        </w:trPr>
        <w:tc>
          <w:tcPr>
            <w:tcW w:w="789" w:type="dxa"/>
            <w:tcBorders>
              <w:top w:val="single" w:sz="4" w:space="0" w:color="auto"/>
              <w:left w:val="single" w:sz="6" w:space="0" w:color="auto"/>
              <w:bottom w:val="single" w:sz="4"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重</w:t>
            </w:r>
          </w:p>
          <w:p w:rsidR="00661307" w:rsidRPr="007023BA" w:rsidRDefault="00661307" w:rsidP="007023BA">
            <w:pPr>
              <w:spacing w:line="260" w:lineRule="exact"/>
              <w:jc w:val="center"/>
              <w:rPr>
                <w:rFonts w:ascii="黑体" w:eastAsia="黑体" w:hAnsi="黑体" w:cs="黑体"/>
                <w:color w:val="000000" w:themeColor="text1"/>
                <w:szCs w:val="21"/>
              </w:rPr>
            </w:pP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点</w:t>
            </w:r>
          </w:p>
          <w:p w:rsidR="00661307" w:rsidRPr="007023BA" w:rsidRDefault="00661307" w:rsidP="007023BA">
            <w:pPr>
              <w:spacing w:line="260" w:lineRule="exact"/>
              <w:jc w:val="center"/>
              <w:rPr>
                <w:rFonts w:ascii="黑体" w:eastAsia="黑体" w:hAnsi="黑体" w:cs="黑体"/>
                <w:color w:val="000000" w:themeColor="text1"/>
                <w:szCs w:val="21"/>
              </w:rPr>
            </w:pP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医</w:t>
            </w:r>
          </w:p>
          <w:p w:rsidR="00661307" w:rsidRPr="007023BA" w:rsidRDefault="00661307" w:rsidP="007023BA">
            <w:pPr>
              <w:spacing w:line="260" w:lineRule="exact"/>
              <w:jc w:val="center"/>
              <w:rPr>
                <w:rFonts w:ascii="黑体" w:eastAsia="黑体" w:hAnsi="黑体" w:cs="黑体"/>
                <w:color w:val="000000" w:themeColor="text1"/>
                <w:szCs w:val="21"/>
              </w:rPr>
            </w:pP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嘱</w:t>
            </w:r>
          </w:p>
        </w:tc>
        <w:tc>
          <w:tcPr>
            <w:tcW w:w="2749" w:type="dxa"/>
            <w:tcBorders>
              <w:top w:val="single" w:sz="4" w:space="0" w:color="auto"/>
              <w:left w:val="single" w:sz="4" w:space="0" w:color="auto"/>
              <w:bottom w:val="single" w:sz="4" w:space="0" w:color="auto"/>
              <w:right w:val="single" w:sz="4" w:space="0" w:color="auto"/>
            </w:tcBorders>
          </w:tcPr>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b/>
                <w:bCs/>
                <w:color w:val="000000" w:themeColor="text1"/>
                <w:szCs w:val="21"/>
              </w:rPr>
              <w:t>长期医嘱：</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风湿病护理常规</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一级或二级护理</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膳食选择</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既往基础用药</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对症处理 ： 氧疗、改善右心功能、防治继发感染</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心电监护（必要时）</w:t>
            </w:r>
          </w:p>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b/>
                <w:bCs/>
                <w:color w:val="000000" w:themeColor="text1"/>
                <w:szCs w:val="21"/>
              </w:rPr>
              <w:t>临时医嘱：</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血常规、尿常规、大便常、肝肾功能、血糖、血脂、电解质、ESR、CRP、凝血功能、传染病四项、ANA谱、RF、抗CCP抗体、免疫球蛋白及补体</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心电图、心脏彩超、胸部HRCT、肝胆胰脾彩超、骨密度、病毒检测、心电图、肺功能</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必要时进行：自免肝</w:t>
            </w:r>
            <w:r w:rsidR="00695B18">
              <w:rPr>
                <w:rFonts w:ascii="宋体" w:hAnsi="宋体" w:cs="宋体" w:hint="eastAsia"/>
                <w:color w:val="000000" w:themeColor="text1"/>
                <w:szCs w:val="21"/>
              </w:rPr>
              <w:t>相关</w:t>
            </w:r>
            <w:r w:rsidRPr="0006031B">
              <w:rPr>
                <w:rFonts w:ascii="宋体" w:hAnsi="宋体" w:cs="宋体" w:hint="eastAsia"/>
                <w:color w:val="000000" w:themeColor="text1"/>
                <w:szCs w:val="21"/>
              </w:rPr>
              <w:t>抗体</w:t>
            </w:r>
            <w:r w:rsidR="00695B18">
              <w:rPr>
                <w:rFonts w:ascii="宋体" w:hAnsi="宋体" w:cs="宋体" w:hint="eastAsia"/>
                <w:color w:val="000000" w:themeColor="text1"/>
                <w:szCs w:val="21"/>
              </w:rPr>
              <w:t>谱</w:t>
            </w:r>
            <w:r w:rsidRPr="0006031B">
              <w:rPr>
                <w:rFonts w:ascii="宋体" w:hAnsi="宋体" w:cs="宋体" w:hint="eastAsia"/>
                <w:color w:val="000000" w:themeColor="text1"/>
                <w:szCs w:val="21"/>
              </w:rPr>
              <w:t>、抗磷脂抗体谱、</w:t>
            </w:r>
            <w:r w:rsidR="00695B18">
              <w:rPr>
                <w:rFonts w:ascii="宋体" w:hAnsi="宋体" w:cs="宋体" w:hint="eastAsia"/>
                <w:color w:val="000000" w:themeColor="text1"/>
                <w:szCs w:val="21"/>
              </w:rPr>
              <w:t>KL-6、</w:t>
            </w:r>
            <w:r w:rsidRPr="0006031B">
              <w:rPr>
                <w:rFonts w:ascii="宋体" w:hAnsi="宋体" w:cs="宋体" w:hint="eastAsia"/>
                <w:color w:val="000000" w:themeColor="text1"/>
                <w:szCs w:val="21"/>
              </w:rPr>
              <w:t>血气分析、肾小管酸化功能、溶血试验、泌尿系彩超和MRI、HBV-DNA、HCV-RNA、PCT、C13呼气试验、消化内镜检查。</w:t>
            </w:r>
          </w:p>
        </w:tc>
        <w:tc>
          <w:tcPr>
            <w:tcW w:w="3119" w:type="dxa"/>
            <w:tcBorders>
              <w:top w:val="single" w:sz="4" w:space="0" w:color="auto"/>
              <w:left w:val="single" w:sz="4" w:space="0" w:color="auto"/>
              <w:bottom w:val="single" w:sz="4" w:space="0" w:color="auto"/>
              <w:right w:val="single" w:sz="4" w:space="0" w:color="auto"/>
            </w:tcBorders>
          </w:tcPr>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b/>
                <w:bCs/>
                <w:color w:val="000000" w:themeColor="text1"/>
                <w:szCs w:val="21"/>
              </w:rPr>
              <w:t>长期医嘱：</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风湿病护理常规</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一级或二级护理</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膳食选择</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必要时调整既往基础用药</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对症处理 ： 氧疗、改善右心功能、防治继发感染</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心电监护（必要时）</w:t>
            </w:r>
          </w:p>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b/>
                <w:bCs/>
                <w:color w:val="000000" w:themeColor="text1"/>
                <w:szCs w:val="21"/>
              </w:rPr>
              <w:t>临时医嘱：</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其他特殊或补充医嘱</w:t>
            </w:r>
          </w:p>
        </w:tc>
        <w:tc>
          <w:tcPr>
            <w:tcW w:w="3055" w:type="dxa"/>
            <w:tcBorders>
              <w:top w:val="single" w:sz="4" w:space="0" w:color="auto"/>
              <w:left w:val="single" w:sz="4" w:space="0" w:color="auto"/>
              <w:bottom w:val="single" w:sz="4" w:space="0" w:color="auto"/>
              <w:right w:val="single" w:sz="6" w:space="0" w:color="auto"/>
            </w:tcBorders>
          </w:tcPr>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b/>
                <w:bCs/>
                <w:color w:val="000000" w:themeColor="text1"/>
                <w:szCs w:val="21"/>
              </w:rPr>
              <w:t>长期医嘱：</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风湿免疫科护理常规</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一级或二级护理</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膳食选择</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必要时调整既往用药</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化验结果调整抗风湿药，可给予非甾体抗炎药，糖皮质激素类药物，</w:t>
            </w:r>
            <w:r w:rsidR="00CB79B0">
              <w:rPr>
                <w:rFonts w:ascii="宋体" w:hAnsi="宋体" w:cs="宋体" w:hint="eastAsia"/>
                <w:color w:val="000000" w:themeColor="text1"/>
                <w:szCs w:val="21"/>
              </w:rPr>
              <w:t>免疫抑制剂</w:t>
            </w:r>
            <w:r w:rsidRPr="0006031B">
              <w:rPr>
                <w:rFonts w:ascii="宋体" w:hAnsi="宋体" w:cs="宋体" w:hint="eastAsia"/>
                <w:color w:val="000000" w:themeColor="text1"/>
                <w:szCs w:val="21"/>
              </w:rPr>
              <w:t>（抗疟药、环磷酰胺、甲氨蝶呤、硫唑嘌呤、环孢素等），</w:t>
            </w:r>
            <w:r w:rsidR="00695B18" w:rsidRPr="00695B18">
              <w:rPr>
                <w:rFonts w:ascii="宋体" w:hAnsi="宋体" w:cs="宋体" w:hint="eastAsia"/>
                <w:color w:val="000000" w:themeColor="text1"/>
                <w:szCs w:val="21"/>
              </w:rPr>
              <w:t>抗纤维化药物（匹非尼酮）、抗氧化药物（乙酰半胱氨酸）</w:t>
            </w:r>
            <w:r w:rsidRPr="0006031B">
              <w:rPr>
                <w:rFonts w:ascii="宋体" w:hAnsi="宋体" w:cs="宋体" w:hint="eastAsia"/>
                <w:color w:val="000000" w:themeColor="text1"/>
                <w:szCs w:val="21"/>
              </w:rPr>
              <w:t>植物制剂（白芍总苷），生物制剂、IVIG。</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必要时给予质子泵抑制剂、胃粘膜保护剂、抗感染、保肝治疗</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需要时给予钙剂、阿法骨化醇、双磷酸盐防治骨质疏松治疗</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对症处理 ： 氧疗、改善右心功能、防治继发感染</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心电监护（必要时）</w:t>
            </w:r>
          </w:p>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b/>
                <w:bCs/>
                <w:color w:val="000000" w:themeColor="text1"/>
                <w:szCs w:val="21"/>
              </w:rPr>
              <w:t>临时医嘱：</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必要时复查血常规、CRP、ESR、补体、肝功能、肾功能、电解质、胸部HRCT</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异常指标复查</w:t>
            </w:r>
          </w:p>
        </w:tc>
      </w:tr>
      <w:tr w:rsidR="00661307" w:rsidRPr="0006031B" w:rsidTr="005D462E">
        <w:trPr>
          <w:trHeight w:val="1084"/>
        </w:trPr>
        <w:tc>
          <w:tcPr>
            <w:tcW w:w="789" w:type="dxa"/>
            <w:tcBorders>
              <w:top w:val="single" w:sz="4" w:space="0" w:color="auto"/>
              <w:left w:val="single" w:sz="6" w:space="0" w:color="auto"/>
              <w:bottom w:val="single" w:sz="4"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主要</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护理</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工作</w:t>
            </w:r>
          </w:p>
        </w:tc>
        <w:tc>
          <w:tcPr>
            <w:tcW w:w="2749" w:type="dxa"/>
            <w:tcBorders>
              <w:top w:val="single" w:sz="4" w:space="0" w:color="auto"/>
              <w:left w:val="single" w:sz="4" w:space="0" w:color="auto"/>
              <w:bottom w:val="single" w:sz="4" w:space="0" w:color="auto"/>
              <w:right w:val="single" w:sz="4" w:space="0" w:color="auto"/>
            </w:tcBorders>
          </w:tcPr>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介绍病房环境、设施和设备</w:t>
            </w:r>
          </w:p>
          <w:p w:rsidR="00661307" w:rsidRPr="00695B18" w:rsidRDefault="00442467" w:rsidP="007023BA">
            <w:pPr>
              <w:numPr>
                <w:ilvl w:val="0"/>
                <w:numId w:val="1"/>
              </w:numPr>
              <w:spacing w:line="260" w:lineRule="exact"/>
              <w:rPr>
                <w:rFonts w:ascii="宋体" w:hAnsi="宋体" w:cs="宋体"/>
                <w:color w:val="000000" w:themeColor="text1"/>
                <w:szCs w:val="21"/>
                <w:u w:val="single"/>
              </w:rPr>
            </w:pPr>
            <w:r w:rsidRPr="0006031B">
              <w:rPr>
                <w:rFonts w:ascii="宋体" w:hAnsi="宋体" w:cs="宋体" w:hint="eastAsia"/>
                <w:color w:val="000000" w:themeColor="text1"/>
                <w:szCs w:val="21"/>
              </w:rPr>
              <w:t>入院护理评估</w:t>
            </w:r>
          </w:p>
          <w:p w:rsidR="00695B18" w:rsidRPr="0006031B" w:rsidRDefault="00695B18" w:rsidP="007023BA">
            <w:pPr>
              <w:numPr>
                <w:ilvl w:val="0"/>
                <w:numId w:val="1"/>
              </w:numPr>
              <w:spacing w:line="260" w:lineRule="exact"/>
              <w:rPr>
                <w:rFonts w:ascii="宋体" w:hAnsi="宋体" w:cs="宋体"/>
                <w:color w:val="000000" w:themeColor="text1"/>
                <w:szCs w:val="21"/>
                <w:u w:val="single"/>
              </w:rPr>
            </w:pPr>
            <w:r>
              <w:rPr>
                <w:rFonts w:ascii="宋体" w:hAnsi="宋体" w:hint="eastAsia"/>
                <w:szCs w:val="21"/>
              </w:rPr>
              <w:t>风湿免疫病慢病管理（心理、康复、自我评估、用药指导、数据库录入）</w:t>
            </w:r>
          </w:p>
        </w:tc>
        <w:tc>
          <w:tcPr>
            <w:tcW w:w="3119" w:type="dxa"/>
            <w:tcBorders>
              <w:top w:val="single" w:sz="4" w:space="0" w:color="auto"/>
              <w:left w:val="single" w:sz="4" w:space="0" w:color="auto"/>
              <w:bottom w:val="single" w:sz="4" w:space="0" w:color="auto"/>
              <w:right w:val="single" w:sz="4" w:space="0" w:color="auto"/>
            </w:tcBorders>
          </w:tcPr>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患者教育</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观察患者病情变化</w:t>
            </w:r>
          </w:p>
          <w:p w:rsidR="00661307" w:rsidRPr="0006031B" w:rsidRDefault="00442467" w:rsidP="007023BA">
            <w:pPr>
              <w:numPr>
                <w:ilvl w:val="0"/>
                <w:numId w:val="1"/>
              </w:numPr>
              <w:tabs>
                <w:tab w:val="left" w:pos="360"/>
              </w:tabs>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观察药物疗效和不良反应</w:t>
            </w:r>
          </w:p>
          <w:p w:rsidR="00661307"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静脉取血，用药指导</w:t>
            </w:r>
          </w:p>
          <w:p w:rsidR="00D107E6" w:rsidRDefault="00D107E6" w:rsidP="00D107E6">
            <w:pPr>
              <w:spacing w:line="260" w:lineRule="exact"/>
              <w:rPr>
                <w:rFonts w:ascii="宋体" w:hAnsi="宋体" w:cs="宋体"/>
                <w:color w:val="000000" w:themeColor="text1"/>
                <w:szCs w:val="21"/>
              </w:rPr>
            </w:pPr>
          </w:p>
          <w:p w:rsidR="00D107E6" w:rsidRDefault="00D107E6" w:rsidP="00D107E6">
            <w:pPr>
              <w:spacing w:line="260" w:lineRule="exact"/>
              <w:rPr>
                <w:rFonts w:ascii="宋体" w:hAnsi="宋体" w:cs="宋体"/>
                <w:color w:val="000000" w:themeColor="text1"/>
                <w:szCs w:val="21"/>
              </w:rPr>
            </w:pPr>
          </w:p>
          <w:p w:rsidR="00D107E6" w:rsidRPr="0006031B" w:rsidRDefault="00D107E6" w:rsidP="00D107E6">
            <w:pPr>
              <w:spacing w:line="260" w:lineRule="exact"/>
              <w:rPr>
                <w:rFonts w:ascii="宋体" w:hAnsi="宋体" w:cs="宋体"/>
                <w:color w:val="000000" w:themeColor="text1"/>
                <w:szCs w:val="21"/>
              </w:rPr>
            </w:pPr>
          </w:p>
        </w:tc>
        <w:tc>
          <w:tcPr>
            <w:tcW w:w="3055" w:type="dxa"/>
            <w:tcBorders>
              <w:top w:val="single" w:sz="4" w:space="0" w:color="auto"/>
              <w:left w:val="single" w:sz="4" w:space="0" w:color="auto"/>
              <w:bottom w:val="single" w:sz="4" w:space="0" w:color="auto"/>
              <w:right w:val="single" w:sz="6" w:space="0" w:color="auto"/>
            </w:tcBorders>
          </w:tcPr>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患者教育</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观察患者病情变化</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观察药物疗效和副作用</w:t>
            </w:r>
          </w:p>
          <w:p w:rsidR="00661307" w:rsidRPr="0006031B" w:rsidRDefault="00442467" w:rsidP="007023BA">
            <w:pPr>
              <w:numPr>
                <w:ilvl w:val="0"/>
                <w:numId w:val="1"/>
              </w:num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心理与生活护理</w:t>
            </w:r>
          </w:p>
        </w:tc>
      </w:tr>
      <w:tr w:rsidR="00661307" w:rsidRPr="0006031B" w:rsidTr="005D462E">
        <w:tc>
          <w:tcPr>
            <w:tcW w:w="789" w:type="dxa"/>
            <w:tcBorders>
              <w:top w:val="single" w:sz="4" w:space="0" w:color="auto"/>
              <w:left w:val="single" w:sz="6" w:space="0" w:color="auto"/>
              <w:bottom w:val="single" w:sz="4"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lastRenderedPageBreak/>
              <w:t>病情变异记录</w:t>
            </w:r>
          </w:p>
        </w:tc>
        <w:tc>
          <w:tcPr>
            <w:tcW w:w="2749" w:type="dxa"/>
            <w:tcBorders>
              <w:top w:val="single" w:sz="4" w:space="0" w:color="auto"/>
              <w:left w:val="single" w:sz="4" w:space="0" w:color="auto"/>
              <w:bottom w:val="single" w:sz="4" w:space="0" w:color="auto"/>
              <w:right w:val="single" w:sz="4" w:space="0" w:color="auto"/>
            </w:tcBorders>
          </w:tcPr>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 无  □ 有，原因：</w:t>
            </w:r>
          </w:p>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1.</w:t>
            </w:r>
          </w:p>
          <w:p w:rsidR="00661307" w:rsidRPr="0006031B" w:rsidRDefault="00442467" w:rsidP="007023BA">
            <w:pPr>
              <w:spacing w:line="260" w:lineRule="exact"/>
              <w:rPr>
                <w:rFonts w:ascii="宋体" w:hAnsi="宋体" w:cs="宋体"/>
                <w:color w:val="000000" w:themeColor="text1"/>
                <w:szCs w:val="21"/>
                <w:u w:val="single"/>
              </w:rPr>
            </w:pPr>
            <w:r w:rsidRPr="0006031B">
              <w:rPr>
                <w:rFonts w:ascii="宋体" w:hAnsi="宋体" w:cs="宋体" w:hint="eastAsia"/>
                <w:color w:val="000000" w:themeColor="text1"/>
                <w:szCs w:val="21"/>
              </w:rPr>
              <w:t>2.</w:t>
            </w:r>
          </w:p>
        </w:tc>
        <w:tc>
          <w:tcPr>
            <w:tcW w:w="3119" w:type="dxa"/>
            <w:tcBorders>
              <w:top w:val="single" w:sz="4" w:space="0" w:color="auto"/>
              <w:left w:val="single" w:sz="4" w:space="0" w:color="auto"/>
              <w:bottom w:val="single" w:sz="4" w:space="0" w:color="auto"/>
              <w:right w:val="single" w:sz="4" w:space="0" w:color="auto"/>
            </w:tcBorders>
          </w:tcPr>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 无  □ 有，原因：</w:t>
            </w:r>
          </w:p>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1.</w:t>
            </w:r>
          </w:p>
          <w:p w:rsidR="00661307" w:rsidRPr="0006031B" w:rsidRDefault="00442467" w:rsidP="007023BA">
            <w:pPr>
              <w:spacing w:line="260" w:lineRule="exact"/>
              <w:rPr>
                <w:rFonts w:ascii="宋体" w:hAnsi="宋体" w:cs="宋体"/>
                <w:color w:val="000000" w:themeColor="text1"/>
                <w:szCs w:val="21"/>
                <w:u w:val="single"/>
              </w:rPr>
            </w:pPr>
            <w:r w:rsidRPr="0006031B">
              <w:rPr>
                <w:rFonts w:ascii="宋体" w:hAnsi="宋体" w:cs="宋体" w:hint="eastAsia"/>
                <w:color w:val="000000" w:themeColor="text1"/>
                <w:szCs w:val="21"/>
              </w:rPr>
              <w:t>2.</w:t>
            </w:r>
          </w:p>
        </w:tc>
        <w:tc>
          <w:tcPr>
            <w:tcW w:w="3055" w:type="dxa"/>
            <w:tcBorders>
              <w:top w:val="single" w:sz="4" w:space="0" w:color="auto"/>
              <w:left w:val="single" w:sz="4" w:space="0" w:color="auto"/>
              <w:bottom w:val="single" w:sz="4" w:space="0" w:color="auto"/>
              <w:right w:val="single" w:sz="6" w:space="0" w:color="auto"/>
            </w:tcBorders>
          </w:tcPr>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 无  □ 有，原因：</w:t>
            </w:r>
          </w:p>
          <w:p w:rsidR="00661307" w:rsidRPr="0006031B" w:rsidRDefault="00442467" w:rsidP="007023BA">
            <w:pPr>
              <w:spacing w:line="260" w:lineRule="exact"/>
              <w:rPr>
                <w:rFonts w:ascii="宋体" w:hAnsi="宋体" w:cs="宋体"/>
                <w:color w:val="000000" w:themeColor="text1"/>
                <w:szCs w:val="21"/>
              </w:rPr>
            </w:pPr>
            <w:r w:rsidRPr="0006031B">
              <w:rPr>
                <w:rFonts w:ascii="宋体" w:hAnsi="宋体" w:cs="宋体" w:hint="eastAsia"/>
                <w:color w:val="000000" w:themeColor="text1"/>
                <w:szCs w:val="21"/>
              </w:rPr>
              <w:t>1.</w:t>
            </w:r>
          </w:p>
          <w:p w:rsidR="00661307" w:rsidRPr="0006031B" w:rsidRDefault="00442467" w:rsidP="007023BA">
            <w:pPr>
              <w:spacing w:line="260" w:lineRule="exact"/>
              <w:rPr>
                <w:rFonts w:ascii="宋体" w:hAnsi="宋体" w:cs="宋体"/>
                <w:color w:val="000000" w:themeColor="text1"/>
                <w:szCs w:val="21"/>
                <w:u w:val="single"/>
              </w:rPr>
            </w:pPr>
            <w:r w:rsidRPr="0006031B">
              <w:rPr>
                <w:rFonts w:ascii="宋体" w:hAnsi="宋体" w:cs="宋体" w:hint="eastAsia"/>
                <w:color w:val="000000" w:themeColor="text1"/>
                <w:szCs w:val="21"/>
              </w:rPr>
              <w:t>2.</w:t>
            </w:r>
          </w:p>
        </w:tc>
      </w:tr>
      <w:tr w:rsidR="00661307" w:rsidRPr="0006031B" w:rsidTr="005D462E">
        <w:trPr>
          <w:trHeight w:val="654"/>
        </w:trPr>
        <w:tc>
          <w:tcPr>
            <w:tcW w:w="789" w:type="dxa"/>
            <w:tcBorders>
              <w:top w:val="single" w:sz="4" w:space="0" w:color="auto"/>
              <w:left w:val="single" w:sz="6" w:space="0" w:color="auto"/>
              <w:bottom w:val="single" w:sz="4"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护士</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签名</w:t>
            </w:r>
          </w:p>
        </w:tc>
        <w:tc>
          <w:tcPr>
            <w:tcW w:w="2749" w:type="dxa"/>
            <w:tcBorders>
              <w:top w:val="single" w:sz="4" w:space="0" w:color="auto"/>
              <w:left w:val="single" w:sz="4" w:space="0" w:color="auto"/>
              <w:bottom w:val="single" w:sz="4" w:space="0" w:color="auto"/>
              <w:right w:val="single" w:sz="4" w:space="0" w:color="auto"/>
            </w:tcBorders>
          </w:tcPr>
          <w:p w:rsidR="00661307" w:rsidRPr="0006031B" w:rsidRDefault="00661307" w:rsidP="007023BA">
            <w:pPr>
              <w:spacing w:line="260" w:lineRule="exact"/>
              <w:rPr>
                <w:rFonts w:ascii="宋体" w:hAnsi="宋体" w:cs="宋体"/>
                <w:color w:val="000000" w:themeColor="text1"/>
                <w:szCs w:val="21"/>
              </w:rPr>
            </w:pPr>
          </w:p>
        </w:tc>
        <w:tc>
          <w:tcPr>
            <w:tcW w:w="3119" w:type="dxa"/>
            <w:tcBorders>
              <w:top w:val="single" w:sz="4" w:space="0" w:color="auto"/>
              <w:left w:val="single" w:sz="4" w:space="0" w:color="auto"/>
              <w:bottom w:val="single" w:sz="4" w:space="0" w:color="auto"/>
              <w:right w:val="single" w:sz="4" w:space="0" w:color="auto"/>
            </w:tcBorders>
          </w:tcPr>
          <w:p w:rsidR="00661307" w:rsidRPr="0006031B" w:rsidRDefault="00661307" w:rsidP="007023BA">
            <w:pPr>
              <w:spacing w:line="260" w:lineRule="exact"/>
              <w:rPr>
                <w:rFonts w:ascii="宋体" w:hAnsi="宋体" w:cs="宋体"/>
                <w:color w:val="000000" w:themeColor="text1"/>
                <w:szCs w:val="21"/>
              </w:rPr>
            </w:pPr>
          </w:p>
        </w:tc>
        <w:tc>
          <w:tcPr>
            <w:tcW w:w="3055" w:type="dxa"/>
            <w:tcBorders>
              <w:top w:val="single" w:sz="4" w:space="0" w:color="auto"/>
              <w:left w:val="single" w:sz="4" w:space="0" w:color="auto"/>
              <w:bottom w:val="single" w:sz="4" w:space="0" w:color="auto"/>
              <w:right w:val="single" w:sz="6" w:space="0" w:color="auto"/>
            </w:tcBorders>
          </w:tcPr>
          <w:p w:rsidR="00661307" w:rsidRPr="0006031B" w:rsidRDefault="00661307" w:rsidP="007023BA">
            <w:pPr>
              <w:spacing w:line="260" w:lineRule="exact"/>
              <w:rPr>
                <w:rFonts w:ascii="宋体" w:hAnsi="宋体" w:cs="宋体"/>
                <w:color w:val="000000" w:themeColor="text1"/>
                <w:szCs w:val="21"/>
              </w:rPr>
            </w:pPr>
          </w:p>
        </w:tc>
      </w:tr>
      <w:tr w:rsidR="00661307" w:rsidRPr="0006031B" w:rsidTr="005D462E">
        <w:trPr>
          <w:trHeight w:val="645"/>
        </w:trPr>
        <w:tc>
          <w:tcPr>
            <w:tcW w:w="789" w:type="dxa"/>
            <w:tcBorders>
              <w:top w:val="single" w:sz="4" w:space="0" w:color="auto"/>
              <w:left w:val="single" w:sz="6" w:space="0" w:color="auto"/>
              <w:bottom w:val="single" w:sz="6"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医师</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签名</w:t>
            </w:r>
          </w:p>
        </w:tc>
        <w:tc>
          <w:tcPr>
            <w:tcW w:w="2749" w:type="dxa"/>
            <w:tcBorders>
              <w:top w:val="single" w:sz="4" w:space="0" w:color="auto"/>
              <w:left w:val="single" w:sz="4" w:space="0" w:color="auto"/>
              <w:bottom w:val="single" w:sz="6" w:space="0" w:color="auto"/>
              <w:right w:val="single" w:sz="4" w:space="0" w:color="auto"/>
            </w:tcBorders>
          </w:tcPr>
          <w:p w:rsidR="00661307" w:rsidRPr="0006031B" w:rsidRDefault="00661307" w:rsidP="007023BA">
            <w:pPr>
              <w:spacing w:line="260" w:lineRule="exact"/>
              <w:rPr>
                <w:rFonts w:ascii="宋体" w:hAnsi="宋体" w:cs="宋体"/>
                <w:color w:val="000000" w:themeColor="text1"/>
                <w:szCs w:val="21"/>
              </w:rPr>
            </w:pPr>
          </w:p>
        </w:tc>
        <w:tc>
          <w:tcPr>
            <w:tcW w:w="3119" w:type="dxa"/>
            <w:tcBorders>
              <w:top w:val="single" w:sz="4" w:space="0" w:color="auto"/>
              <w:left w:val="single" w:sz="4" w:space="0" w:color="auto"/>
              <w:bottom w:val="single" w:sz="6" w:space="0" w:color="auto"/>
              <w:right w:val="single" w:sz="4" w:space="0" w:color="auto"/>
            </w:tcBorders>
          </w:tcPr>
          <w:p w:rsidR="00661307" w:rsidRPr="0006031B" w:rsidRDefault="00661307" w:rsidP="007023BA">
            <w:pPr>
              <w:spacing w:line="260" w:lineRule="exact"/>
              <w:rPr>
                <w:rFonts w:ascii="宋体" w:hAnsi="宋体" w:cs="宋体"/>
                <w:color w:val="000000" w:themeColor="text1"/>
                <w:szCs w:val="21"/>
              </w:rPr>
            </w:pPr>
          </w:p>
        </w:tc>
        <w:tc>
          <w:tcPr>
            <w:tcW w:w="3055" w:type="dxa"/>
            <w:tcBorders>
              <w:top w:val="single" w:sz="4" w:space="0" w:color="auto"/>
              <w:left w:val="single" w:sz="4" w:space="0" w:color="auto"/>
              <w:bottom w:val="single" w:sz="6" w:space="0" w:color="auto"/>
              <w:right w:val="single" w:sz="6" w:space="0" w:color="auto"/>
            </w:tcBorders>
          </w:tcPr>
          <w:p w:rsidR="00661307" w:rsidRPr="0006031B" w:rsidRDefault="00661307" w:rsidP="007023BA">
            <w:pPr>
              <w:spacing w:line="260" w:lineRule="exact"/>
              <w:rPr>
                <w:rFonts w:ascii="宋体" w:hAnsi="宋体" w:cs="宋体"/>
                <w:color w:val="000000" w:themeColor="text1"/>
                <w:szCs w:val="21"/>
              </w:rPr>
            </w:pPr>
          </w:p>
        </w:tc>
      </w:tr>
    </w:tbl>
    <w:p w:rsidR="00661307" w:rsidRPr="0006031B" w:rsidRDefault="00661307" w:rsidP="007023BA">
      <w:pPr>
        <w:adjustRightInd w:val="0"/>
        <w:snapToGrid w:val="0"/>
        <w:spacing w:line="360" w:lineRule="auto"/>
        <w:ind w:firstLineChars="200" w:firstLine="420"/>
        <w:rPr>
          <w:rFonts w:ascii="宋体" w:hAnsi="宋体" w:cs="宋体"/>
          <w:color w:val="000000" w:themeColor="text1"/>
          <w:szCs w:val="21"/>
        </w:rPr>
      </w:pPr>
    </w:p>
    <w:tbl>
      <w:tblPr>
        <w:tblW w:w="971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798"/>
        <w:gridCol w:w="4400"/>
        <w:gridCol w:w="4517"/>
      </w:tblGrid>
      <w:tr w:rsidR="00661307" w:rsidRPr="0006031B" w:rsidTr="005D462E">
        <w:trPr>
          <w:trHeight w:hRule="exact" w:val="616"/>
        </w:trPr>
        <w:tc>
          <w:tcPr>
            <w:tcW w:w="798" w:type="dxa"/>
            <w:tcBorders>
              <w:top w:val="double" w:sz="4" w:space="0" w:color="auto"/>
              <w:left w:val="double" w:sz="4" w:space="0" w:color="auto"/>
              <w:bottom w:val="double" w:sz="4" w:space="0" w:color="auto"/>
              <w:right w:val="double" w:sz="4" w:space="0" w:color="auto"/>
            </w:tcBorders>
            <w:vAlign w:val="center"/>
          </w:tcPr>
          <w:p w:rsidR="00661307" w:rsidRPr="007023BA" w:rsidRDefault="00442467" w:rsidP="007023BA">
            <w:pPr>
              <w:spacing w:line="260" w:lineRule="exact"/>
              <w:jc w:val="center"/>
              <w:rPr>
                <w:rFonts w:ascii="黑体" w:eastAsia="黑体" w:hAnsi="黑体" w:cs="黑体"/>
                <w:bCs/>
                <w:color w:val="000000" w:themeColor="text1"/>
                <w:szCs w:val="21"/>
              </w:rPr>
            </w:pPr>
            <w:bookmarkStart w:id="1" w:name="_GoBack"/>
            <w:r w:rsidRPr="007023BA">
              <w:rPr>
                <w:rFonts w:ascii="黑体" w:eastAsia="黑体" w:hAnsi="黑体" w:cs="黑体" w:hint="eastAsia"/>
                <w:bCs/>
                <w:color w:val="000000" w:themeColor="text1"/>
                <w:szCs w:val="21"/>
              </w:rPr>
              <w:t>时间</w:t>
            </w:r>
          </w:p>
        </w:tc>
        <w:tc>
          <w:tcPr>
            <w:tcW w:w="4400" w:type="dxa"/>
            <w:tcBorders>
              <w:top w:val="double" w:sz="4" w:space="0" w:color="auto"/>
              <w:left w:val="double" w:sz="4" w:space="0" w:color="auto"/>
              <w:bottom w:val="double" w:sz="4" w:space="0" w:color="auto"/>
              <w:right w:val="double" w:sz="4" w:space="0" w:color="auto"/>
            </w:tcBorders>
            <w:vAlign w:val="center"/>
          </w:tcPr>
          <w:p w:rsidR="00661307" w:rsidRPr="007023BA" w:rsidRDefault="00442467" w:rsidP="007023BA">
            <w:pPr>
              <w:spacing w:line="260" w:lineRule="exact"/>
              <w:jc w:val="center"/>
              <w:rPr>
                <w:rFonts w:ascii="黑体" w:eastAsia="黑体" w:hAnsi="黑体" w:cs="黑体"/>
                <w:bCs/>
                <w:color w:val="000000" w:themeColor="text1"/>
                <w:szCs w:val="21"/>
              </w:rPr>
            </w:pPr>
            <w:r w:rsidRPr="007023BA">
              <w:rPr>
                <w:rFonts w:ascii="黑体" w:eastAsia="黑体" w:hAnsi="黑体" w:cs="黑体" w:hint="eastAsia"/>
                <w:bCs/>
                <w:color w:val="000000" w:themeColor="text1"/>
                <w:szCs w:val="21"/>
              </w:rPr>
              <w:t>出院前1–3天</w:t>
            </w:r>
          </w:p>
        </w:tc>
        <w:tc>
          <w:tcPr>
            <w:tcW w:w="4517" w:type="dxa"/>
            <w:tcBorders>
              <w:top w:val="double" w:sz="4" w:space="0" w:color="auto"/>
              <w:left w:val="double" w:sz="4" w:space="0" w:color="auto"/>
              <w:bottom w:val="double" w:sz="4" w:space="0" w:color="auto"/>
              <w:right w:val="double" w:sz="4" w:space="0" w:color="auto"/>
            </w:tcBorders>
            <w:vAlign w:val="center"/>
          </w:tcPr>
          <w:p w:rsidR="00F45E96" w:rsidRPr="007023BA" w:rsidRDefault="00442467" w:rsidP="007023BA">
            <w:pPr>
              <w:spacing w:line="260" w:lineRule="exact"/>
              <w:jc w:val="center"/>
              <w:rPr>
                <w:rFonts w:ascii="黑体" w:eastAsia="黑体" w:hAnsi="黑体" w:cs="黑体"/>
                <w:bCs/>
                <w:color w:val="000000" w:themeColor="text1"/>
                <w:szCs w:val="21"/>
              </w:rPr>
            </w:pPr>
            <w:r w:rsidRPr="007023BA">
              <w:rPr>
                <w:rFonts w:ascii="黑体" w:eastAsia="黑体" w:hAnsi="黑体" w:cs="黑体" w:hint="eastAsia"/>
                <w:bCs/>
                <w:color w:val="000000" w:themeColor="text1"/>
                <w:szCs w:val="21"/>
              </w:rPr>
              <w:t>住院第10-</w:t>
            </w:r>
            <w:r w:rsidR="00695B18" w:rsidRPr="007023BA">
              <w:rPr>
                <w:rFonts w:ascii="黑体" w:eastAsia="黑体" w:hAnsi="黑体" w:cs="黑体" w:hint="eastAsia"/>
                <w:bCs/>
                <w:color w:val="000000" w:themeColor="text1"/>
                <w:szCs w:val="21"/>
              </w:rPr>
              <w:t>20</w:t>
            </w:r>
            <w:r w:rsidRPr="007023BA">
              <w:rPr>
                <w:rFonts w:ascii="黑体" w:eastAsia="黑体" w:hAnsi="黑体" w:cs="黑体" w:hint="eastAsia"/>
                <w:bCs/>
                <w:color w:val="000000" w:themeColor="text1"/>
                <w:szCs w:val="21"/>
              </w:rPr>
              <w:t>天（出院日）</w:t>
            </w:r>
          </w:p>
        </w:tc>
      </w:tr>
      <w:tr w:rsidR="00661307" w:rsidRPr="0006031B" w:rsidTr="005D462E">
        <w:trPr>
          <w:trHeight w:val="844"/>
        </w:trPr>
        <w:tc>
          <w:tcPr>
            <w:tcW w:w="798" w:type="dxa"/>
            <w:tcBorders>
              <w:top w:val="double" w:sz="4" w:space="0" w:color="auto"/>
              <w:left w:val="single" w:sz="6" w:space="0" w:color="auto"/>
              <w:bottom w:val="single" w:sz="4"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主</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要</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诊</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疗</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工</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作</w:t>
            </w:r>
          </w:p>
        </w:tc>
        <w:tc>
          <w:tcPr>
            <w:tcW w:w="4400" w:type="dxa"/>
            <w:tcBorders>
              <w:top w:val="double" w:sz="4" w:space="0" w:color="auto"/>
              <w:left w:val="single" w:sz="4" w:space="0" w:color="auto"/>
              <w:bottom w:val="single" w:sz="4" w:space="0" w:color="auto"/>
              <w:right w:val="single" w:sz="4" w:space="0" w:color="auto"/>
            </w:tcBorders>
          </w:tcPr>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上级医师查房</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病情评估、疗效及不良反应评估</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确定出院后长期系统的治疗方案</w:t>
            </w:r>
          </w:p>
          <w:p w:rsidR="00661307" w:rsidRPr="0006031B" w:rsidRDefault="00442467" w:rsidP="007023BA">
            <w:pPr>
              <w:numPr>
                <w:ilvl w:val="0"/>
                <w:numId w:val="2"/>
              </w:numPr>
              <w:spacing w:line="260" w:lineRule="exact"/>
              <w:rPr>
                <w:rFonts w:ascii="宋体" w:hAnsi="宋体"/>
                <w:color w:val="000000" w:themeColor="text1"/>
                <w:szCs w:val="21"/>
              </w:rPr>
            </w:pPr>
            <w:r w:rsidRPr="0006031B">
              <w:rPr>
                <w:rFonts w:ascii="宋体" w:hAnsi="宋体" w:hint="eastAsia"/>
                <w:color w:val="000000" w:themeColor="text1"/>
                <w:szCs w:val="21"/>
              </w:rPr>
              <w:t>明确出院时间</w:t>
            </w:r>
          </w:p>
        </w:tc>
        <w:tc>
          <w:tcPr>
            <w:tcW w:w="4517" w:type="dxa"/>
            <w:tcBorders>
              <w:top w:val="double" w:sz="4" w:space="0" w:color="auto"/>
              <w:left w:val="single" w:sz="4" w:space="0" w:color="auto"/>
              <w:bottom w:val="single" w:sz="4" w:space="0" w:color="auto"/>
              <w:right w:val="single" w:sz="6" w:space="0" w:color="auto"/>
            </w:tcBorders>
          </w:tcPr>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完成出院相关医疗文件</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交代出院后的注意事项及就医指征</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预约复诊日期</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交待复查项目</w:t>
            </w:r>
          </w:p>
          <w:p w:rsidR="00661307" w:rsidRPr="0006031B" w:rsidRDefault="00661307" w:rsidP="007023BA">
            <w:pPr>
              <w:spacing w:line="260" w:lineRule="exact"/>
              <w:rPr>
                <w:rFonts w:ascii="宋体" w:hAnsi="宋体"/>
                <w:color w:val="000000" w:themeColor="text1"/>
                <w:szCs w:val="21"/>
              </w:rPr>
            </w:pPr>
          </w:p>
        </w:tc>
      </w:tr>
      <w:tr w:rsidR="00661307" w:rsidRPr="0006031B" w:rsidTr="005D462E">
        <w:trPr>
          <w:trHeight w:val="2329"/>
        </w:trPr>
        <w:tc>
          <w:tcPr>
            <w:tcW w:w="798" w:type="dxa"/>
            <w:tcBorders>
              <w:top w:val="single" w:sz="4" w:space="0" w:color="auto"/>
              <w:left w:val="single" w:sz="6" w:space="0" w:color="auto"/>
              <w:bottom w:val="single" w:sz="4"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重</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点</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医</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嘱</w:t>
            </w:r>
          </w:p>
        </w:tc>
        <w:tc>
          <w:tcPr>
            <w:tcW w:w="4400" w:type="dxa"/>
            <w:tcBorders>
              <w:top w:val="single" w:sz="4" w:space="0" w:color="auto"/>
              <w:left w:val="single" w:sz="4" w:space="0" w:color="auto"/>
              <w:bottom w:val="single" w:sz="4" w:space="0" w:color="auto"/>
              <w:right w:val="single" w:sz="4" w:space="0" w:color="auto"/>
            </w:tcBorders>
          </w:tcPr>
          <w:p w:rsidR="00661307" w:rsidRPr="0006031B" w:rsidRDefault="00442467" w:rsidP="007023BA">
            <w:pPr>
              <w:spacing w:line="260" w:lineRule="exact"/>
              <w:rPr>
                <w:rFonts w:ascii="宋体" w:hAnsi="宋体"/>
                <w:color w:val="000000" w:themeColor="text1"/>
                <w:szCs w:val="21"/>
              </w:rPr>
            </w:pPr>
            <w:r w:rsidRPr="0006031B">
              <w:rPr>
                <w:rFonts w:ascii="宋体" w:hAnsi="宋体" w:hint="eastAsia"/>
                <w:b/>
                <w:bCs/>
                <w:color w:val="000000" w:themeColor="text1"/>
                <w:szCs w:val="21"/>
              </w:rPr>
              <w:t>长期医嘱：</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风湿免疫科护理常规</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一级或二级护理</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根据病情调整长期用药</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对症处理 ： 氧疗、改善右心功能、防治继发感染</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心电监护（必要时）</w:t>
            </w:r>
          </w:p>
          <w:p w:rsidR="00661307" w:rsidRPr="0006031B" w:rsidRDefault="00442467" w:rsidP="007023BA">
            <w:pPr>
              <w:spacing w:line="260" w:lineRule="exact"/>
              <w:rPr>
                <w:rFonts w:ascii="宋体" w:hAnsi="宋体"/>
                <w:color w:val="000000" w:themeColor="text1"/>
                <w:szCs w:val="21"/>
              </w:rPr>
            </w:pPr>
            <w:r w:rsidRPr="0006031B">
              <w:rPr>
                <w:rFonts w:ascii="宋体" w:hAnsi="宋体" w:hint="eastAsia"/>
                <w:b/>
                <w:bCs/>
                <w:color w:val="000000" w:themeColor="text1"/>
                <w:szCs w:val="21"/>
              </w:rPr>
              <w:t>临时医嘱：</w:t>
            </w:r>
          </w:p>
          <w:p w:rsidR="00661307" w:rsidRPr="0006031B" w:rsidRDefault="00442467" w:rsidP="007023BA">
            <w:pPr>
              <w:numPr>
                <w:ilvl w:val="0"/>
                <w:numId w:val="2"/>
              </w:numPr>
              <w:spacing w:line="260" w:lineRule="exact"/>
              <w:rPr>
                <w:rFonts w:ascii="宋体" w:hAnsi="宋体"/>
                <w:color w:val="000000" w:themeColor="text1"/>
                <w:szCs w:val="21"/>
              </w:rPr>
            </w:pPr>
            <w:r w:rsidRPr="0006031B">
              <w:rPr>
                <w:rFonts w:ascii="宋体" w:hAnsi="宋体" w:hint="eastAsia"/>
                <w:color w:val="000000" w:themeColor="text1"/>
                <w:szCs w:val="21"/>
              </w:rPr>
              <w:t>根据需要复查相关指标</w:t>
            </w:r>
          </w:p>
        </w:tc>
        <w:tc>
          <w:tcPr>
            <w:tcW w:w="4517" w:type="dxa"/>
            <w:tcBorders>
              <w:top w:val="single" w:sz="4" w:space="0" w:color="auto"/>
              <w:left w:val="single" w:sz="4" w:space="0" w:color="auto"/>
              <w:bottom w:val="single" w:sz="4" w:space="0" w:color="auto"/>
              <w:right w:val="single" w:sz="6" w:space="0" w:color="auto"/>
            </w:tcBorders>
          </w:tcPr>
          <w:p w:rsidR="00661307" w:rsidRPr="0006031B" w:rsidRDefault="00442467" w:rsidP="007023BA">
            <w:pPr>
              <w:spacing w:line="260" w:lineRule="exact"/>
              <w:rPr>
                <w:rFonts w:ascii="宋体" w:hAnsi="宋体"/>
                <w:color w:val="000000" w:themeColor="text1"/>
                <w:szCs w:val="21"/>
              </w:rPr>
            </w:pPr>
            <w:r w:rsidRPr="0006031B">
              <w:rPr>
                <w:rFonts w:ascii="宋体" w:hAnsi="宋体" w:hint="eastAsia"/>
                <w:b/>
                <w:bCs/>
                <w:color w:val="000000" w:themeColor="text1"/>
                <w:szCs w:val="21"/>
              </w:rPr>
              <w:t>出院医嘱：</w:t>
            </w:r>
          </w:p>
          <w:p w:rsidR="00661307" w:rsidRPr="0006031B" w:rsidRDefault="00442467" w:rsidP="007023BA">
            <w:pPr>
              <w:numPr>
                <w:ilvl w:val="0"/>
                <w:numId w:val="2"/>
              </w:numPr>
              <w:spacing w:line="260" w:lineRule="exact"/>
              <w:rPr>
                <w:rFonts w:ascii="宋体" w:hAnsi="宋体"/>
                <w:color w:val="000000" w:themeColor="text1"/>
                <w:szCs w:val="21"/>
              </w:rPr>
            </w:pPr>
            <w:r w:rsidRPr="0006031B">
              <w:rPr>
                <w:rFonts w:ascii="宋体" w:hAnsi="宋体" w:hint="eastAsia"/>
                <w:color w:val="000000" w:themeColor="text1"/>
                <w:szCs w:val="21"/>
              </w:rPr>
              <w:t>出院带药</w:t>
            </w:r>
          </w:p>
          <w:p w:rsidR="00661307" w:rsidRPr="0006031B" w:rsidRDefault="00661307" w:rsidP="007023BA">
            <w:pPr>
              <w:spacing w:line="260" w:lineRule="exact"/>
              <w:rPr>
                <w:rFonts w:ascii="宋体" w:hAnsi="宋体"/>
                <w:color w:val="000000" w:themeColor="text1"/>
                <w:szCs w:val="21"/>
              </w:rPr>
            </w:pPr>
          </w:p>
        </w:tc>
      </w:tr>
      <w:tr w:rsidR="00661307" w:rsidRPr="0006031B" w:rsidTr="005D462E">
        <w:trPr>
          <w:trHeight w:val="130"/>
        </w:trPr>
        <w:tc>
          <w:tcPr>
            <w:tcW w:w="798" w:type="dxa"/>
            <w:tcBorders>
              <w:top w:val="single" w:sz="4" w:space="0" w:color="auto"/>
              <w:left w:val="single" w:sz="6" w:space="0" w:color="auto"/>
              <w:bottom w:val="single" w:sz="4"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主要</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护理</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工作</w:t>
            </w:r>
          </w:p>
        </w:tc>
        <w:tc>
          <w:tcPr>
            <w:tcW w:w="4400" w:type="dxa"/>
            <w:tcBorders>
              <w:top w:val="single" w:sz="4" w:space="0" w:color="auto"/>
              <w:left w:val="single" w:sz="4" w:space="0" w:color="auto"/>
              <w:bottom w:val="single" w:sz="4" w:space="0" w:color="auto"/>
              <w:right w:val="single" w:sz="4" w:space="0" w:color="auto"/>
            </w:tcBorders>
          </w:tcPr>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患者教育</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观察患者病情变化</w:t>
            </w:r>
          </w:p>
          <w:p w:rsidR="00661307" w:rsidRPr="0006031B" w:rsidRDefault="00442467" w:rsidP="007023BA">
            <w:pPr>
              <w:numPr>
                <w:ilvl w:val="0"/>
                <w:numId w:val="1"/>
              </w:numPr>
              <w:spacing w:line="260" w:lineRule="exact"/>
              <w:rPr>
                <w:rFonts w:ascii="宋体" w:hAnsi="宋体"/>
                <w:color w:val="000000" w:themeColor="text1"/>
                <w:szCs w:val="21"/>
              </w:rPr>
            </w:pPr>
            <w:r w:rsidRPr="0006031B">
              <w:rPr>
                <w:rFonts w:ascii="宋体" w:hAnsi="宋体" w:hint="eastAsia"/>
                <w:color w:val="000000" w:themeColor="text1"/>
                <w:szCs w:val="21"/>
              </w:rPr>
              <w:t>观察药物疗效和副作用</w:t>
            </w:r>
          </w:p>
          <w:p w:rsidR="00661307" w:rsidRPr="0006031B" w:rsidRDefault="00442467" w:rsidP="007023BA">
            <w:pPr>
              <w:numPr>
                <w:ilvl w:val="0"/>
                <w:numId w:val="1"/>
              </w:numPr>
              <w:tabs>
                <w:tab w:val="left" w:pos="360"/>
              </w:tabs>
              <w:spacing w:line="260" w:lineRule="exact"/>
              <w:rPr>
                <w:rFonts w:ascii="宋体" w:hAnsi="宋体"/>
                <w:color w:val="000000" w:themeColor="text1"/>
                <w:szCs w:val="21"/>
              </w:rPr>
            </w:pPr>
            <w:r w:rsidRPr="0006031B">
              <w:rPr>
                <w:rFonts w:ascii="宋体" w:hAnsi="宋体" w:hint="eastAsia"/>
                <w:color w:val="000000" w:themeColor="text1"/>
                <w:szCs w:val="21"/>
              </w:rPr>
              <w:t>生活和心理护理</w:t>
            </w:r>
          </w:p>
          <w:p w:rsidR="00661307" w:rsidRPr="0006031B" w:rsidRDefault="00442467" w:rsidP="007023BA">
            <w:pPr>
              <w:numPr>
                <w:ilvl w:val="0"/>
                <w:numId w:val="2"/>
              </w:numPr>
              <w:spacing w:line="260" w:lineRule="exact"/>
              <w:rPr>
                <w:rFonts w:ascii="宋体" w:hAnsi="宋体"/>
                <w:color w:val="000000" w:themeColor="text1"/>
                <w:szCs w:val="21"/>
                <w:u w:val="single"/>
              </w:rPr>
            </w:pPr>
            <w:r w:rsidRPr="0006031B">
              <w:rPr>
                <w:rFonts w:ascii="宋体" w:hAnsi="宋体" w:hint="eastAsia"/>
                <w:color w:val="000000" w:themeColor="text1"/>
                <w:szCs w:val="21"/>
              </w:rPr>
              <w:t>出院准备指导</w:t>
            </w:r>
          </w:p>
        </w:tc>
        <w:tc>
          <w:tcPr>
            <w:tcW w:w="4517" w:type="dxa"/>
            <w:tcBorders>
              <w:top w:val="single" w:sz="4" w:space="0" w:color="auto"/>
              <w:left w:val="single" w:sz="4" w:space="0" w:color="auto"/>
              <w:bottom w:val="single" w:sz="4" w:space="0" w:color="auto"/>
              <w:right w:val="single" w:sz="6" w:space="0" w:color="auto"/>
            </w:tcBorders>
          </w:tcPr>
          <w:p w:rsidR="00661307" w:rsidRDefault="00442467" w:rsidP="007023BA">
            <w:pPr>
              <w:numPr>
                <w:ilvl w:val="0"/>
                <w:numId w:val="2"/>
              </w:numPr>
              <w:spacing w:line="260" w:lineRule="exact"/>
              <w:rPr>
                <w:rFonts w:ascii="宋体" w:hAnsi="宋体"/>
                <w:color w:val="000000" w:themeColor="text1"/>
                <w:szCs w:val="21"/>
              </w:rPr>
            </w:pPr>
            <w:r w:rsidRPr="0006031B">
              <w:rPr>
                <w:rFonts w:ascii="宋体" w:hAnsi="宋体" w:hint="eastAsia"/>
                <w:color w:val="000000" w:themeColor="text1"/>
                <w:szCs w:val="21"/>
              </w:rPr>
              <w:t>指导患者办理出院手续</w:t>
            </w:r>
          </w:p>
          <w:p w:rsidR="00695B18" w:rsidRPr="0006031B" w:rsidRDefault="00695B18" w:rsidP="007023BA">
            <w:pPr>
              <w:numPr>
                <w:ilvl w:val="0"/>
                <w:numId w:val="2"/>
              </w:numPr>
              <w:spacing w:line="260" w:lineRule="exact"/>
              <w:rPr>
                <w:rFonts w:ascii="宋体" w:hAnsi="宋体"/>
                <w:color w:val="000000" w:themeColor="text1"/>
                <w:szCs w:val="21"/>
              </w:rPr>
            </w:pPr>
            <w:r>
              <w:rPr>
                <w:rFonts w:ascii="宋体" w:hAnsi="宋体" w:hint="eastAsia"/>
                <w:szCs w:val="21"/>
              </w:rPr>
              <w:t>风湿免疫病慢病管理（心理、康复、自我评估、用药指导、数据库录入）</w:t>
            </w:r>
          </w:p>
        </w:tc>
      </w:tr>
      <w:tr w:rsidR="00661307" w:rsidRPr="0006031B" w:rsidTr="005D462E">
        <w:trPr>
          <w:trHeight w:val="130"/>
        </w:trPr>
        <w:tc>
          <w:tcPr>
            <w:tcW w:w="798" w:type="dxa"/>
            <w:tcBorders>
              <w:top w:val="single" w:sz="4" w:space="0" w:color="auto"/>
              <w:left w:val="single" w:sz="6" w:space="0" w:color="auto"/>
              <w:bottom w:val="single" w:sz="4"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病情</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变异</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记录</w:t>
            </w:r>
          </w:p>
        </w:tc>
        <w:tc>
          <w:tcPr>
            <w:tcW w:w="4400" w:type="dxa"/>
            <w:tcBorders>
              <w:top w:val="single" w:sz="4" w:space="0" w:color="auto"/>
              <w:left w:val="single" w:sz="4" w:space="0" w:color="auto"/>
              <w:bottom w:val="single" w:sz="4" w:space="0" w:color="auto"/>
              <w:right w:val="single" w:sz="4" w:space="0" w:color="auto"/>
            </w:tcBorders>
          </w:tcPr>
          <w:p w:rsidR="00661307" w:rsidRPr="0006031B" w:rsidRDefault="00442467" w:rsidP="007023BA">
            <w:pPr>
              <w:spacing w:line="260" w:lineRule="exact"/>
              <w:rPr>
                <w:rFonts w:ascii="宋体" w:hAnsi="宋体"/>
                <w:color w:val="000000" w:themeColor="text1"/>
                <w:szCs w:val="21"/>
              </w:rPr>
            </w:pPr>
            <w:r w:rsidRPr="0006031B">
              <w:rPr>
                <w:rFonts w:ascii="宋体" w:hAnsi="宋体" w:hint="eastAsia"/>
                <w:color w:val="000000" w:themeColor="text1"/>
                <w:szCs w:val="21"/>
              </w:rPr>
              <w:t>□ 无  □ 有，原因：</w:t>
            </w:r>
          </w:p>
          <w:p w:rsidR="00661307" w:rsidRPr="0006031B" w:rsidRDefault="00442467" w:rsidP="007023BA">
            <w:pPr>
              <w:spacing w:line="260" w:lineRule="exact"/>
              <w:rPr>
                <w:rFonts w:ascii="宋体" w:hAnsi="宋体"/>
                <w:color w:val="000000" w:themeColor="text1"/>
                <w:szCs w:val="21"/>
              </w:rPr>
            </w:pPr>
            <w:r w:rsidRPr="0006031B">
              <w:rPr>
                <w:rFonts w:ascii="宋体" w:hAnsi="宋体" w:hint="eastAsia"/>
                <w:color w:val="000000" w:themeColor="text1"/>
                <w:szCs w:val="21"/>
              </w:rPr>
              <w:t>1.</w:t>
            </w:r>
          </w:p>
          <w:p w:rsidR="00661307" w:rsidRPr="0006031B" w:rsidRDefault="00442467" w:rsidP="007023BA">
            <w:pPr>
              <w:spacing w:line="260" w:lineRule="exact"/>
              <w:rPr>
                <w:rFonts w:ascii="宋体" w:hAnsi="宋体"/>
                <w:color w:val="000000" w:themeColor="text1"/>
                <w:szCs w:val="21"/>
                <w:u w:val="single"/>
              </w:rPr>
            </w:pPr>
            <w:r w:rsidRPr="0006031B">
              <w:rPr>
                <w:rFonts w:ascii="宋体" w:hAnsi="宋体" w:hint="eastAsia"/>
                <w:color w:val="000000" w:themeColor="text1"/>
                <w:szCs w:val="21"/>
              </w:rPr>
              <w:t>2.</w:t>
            </w:r>
          </w:p>
        </w:tc>
        <w:tc>
          <w:tcPr>
            <w:tcW w:w="4517" w:type="dxa"/>
            <w:tcBorders>
              <w:top w:val="single" w:sz="4" w:space="0" w:color="auto"/>
              <w:left w:val="single" w:sz="4" w:space="0" w:color="auto"/>
              <w:bottom w:val="single" w:sz="4" w:space="0" w:color="auto"/>
              <w:right w:val="single" w:sz="6" w:space="0" w:color="auto"/>
            </w:tcBorders>
          </w:tcPr>
          <w:p w:rsidR="00661307" w:rsidRPr="0006031B" w:rsidRDefault="00442467" w:rsidP="007023BA">
            <w:pPr>
              <w:spacing w:line="260" w:lineRule="exact"/>
              <w:rPr>
                <w:rFonts w:ascii="宋体" w:hAnsi="宋体"/>
                <w:color w:val="000000" w:themeColor="text1"/>
                <w:szCs w:val="21"/>
              </w:rPr>
            </w:pPr>
            <w:r w:rsidRPr="0006031B">
              <w:rPr>
                <w:rFonts w:ascii="宋体" w:hAnsi="宋体" w:hint="eastAsia"/>
                <w:color w:val="000000" w:themeColor="text1"/>
                <w:szCs w:val="21"/>
              </w:rPr>
              <w:t>□ 无  □ 有，原因：</w:t>
            </w:r>
          </w:p>
          <w:p w:rsidR="00661307" w:rsidRPr="0006031B" w:rsidRDefault="00442467" w:rsidP="007023BA">
            <w:pPr>
              <w:spacing w:line="260" w:lineRule="exact"/>
              <w:rPr>
                <w:rFonts w:ascii="宋体" w:hAnsi="宋体"/>
                <w:color w:val="000000" w:themeColor="text1"/>
                <w:szCs w:val="21"/>
              </w:rPr>
            </w:pPr>
            <w:r w:rsidRPr="0006031B">
              <w:rPr>
                <w:rFonts w:ascii="宋体" w:hAnsi="宋体" w:hint="eastAsia"/>
                <w:color w:val="000000" w:themeColor="text1"/>
                <w:szCs w:val="21"/>
              </w:rPr>
              <w:t>1.</w:t>
            </w:r>
          </w:p>
          <w:p w:rsidR="00661307" w:rsidRPr="0006031B" w:rsidRDefault="00442467" w:rsidP="007023BA">
            <w:pPr>
              <w:spacing w:line="260" w:lineRule="exact"/>
              <w:rPr>
                <w:rFonts w:ascii="宋体" w:hAnsi="宋体"/>
                <w:color w:val="000000" w:themeColor="text1"/>
                <w:szCs w:val="21"/>
                <w:u w:val="single"/>
              </w:rPr>
            </w:pPr>
            <w:r w:rsidRPr="0006031B">
              <w:rPr>
                <w:rFonts w:ascii="宋体" w:hAnsi="宋体" w:hint="eastAsia"/>
                <w:color w:val="000000" w:themeColor="text1"/>
                <w:szCs w:val="21"/>
              </w:rPr>
              <w:t>2.</w:t>
            </w:r>
          </w:p>
        </w:tc>
      </w:tr>
      <w:tr w:rsidR="00661307" w:rsidRPr="0006031B" w:rsidTr="005D462E">
        <w:trPr>
          <w:trHeight w:val="686"/>
        </w:trPr>
        <w:tc>
          <w:tcPr>
            <w:tcW w:w="798" w:type="dxa"/>
            <w:tcBorders>
              <w:top w:val="single" w:sz="4" w:space="0" w:color="auto"/>
              <w:left w:val="single" w:sz="6" w:space="0" w:color="auto"/>
              <w:bottom w:val="single" w:sz="4"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护士</w:t>
            </w:r>
          </w:p>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签名</w:t>
            </w:r>
          </w:p>
        </w:tc>
        <w:tc>
          <w:tcPr>
            <w:tcW w:w="4400" w:type="dxa"/>
            <w:tcBorders>
              <w:top w:val="single" w:sz="4" w:space="0" w:color="auto"/>
              <w:left w:val="single" w:sz="4" w:space="0" w:color="auto"/>
              <w:bottom w:val="single" w:sz="4" w:space="0" w:color="auto"/>
              <w:right w:val="single" w:sz="4" w:space="0" w:color="auto"/>
            </w:tcBorders>
          </w:tcPr>
          <w:p w:rsidR="00661307" w:rsidRPr="0006031B" w:rsidRDefault="00661307" w:rsidP="007023BA">
            <w:pPr>
              <w:spacing w:line="260" w:lineRule="exact"/>
              <w:rPr>
                <w:rFonts w:ascii="宋体" w:hAnsi="宋体"/>
                <w:color w:val="000000" w:themeColor="text1"/>
                <w:sz w:val="18"/>
                <w:szCs w:val="18"/>
              </w:rPr>
            </w:pPr>
          </w:p>
        </w:tc>
        <w:tc>
          <w:tcPr>
            <w:tcW w:w="4517" w:type="dxa"/>
            <w:tcBorders>
              <w:top w:val="single" w:sz="4" w:space="0" w:color="auto"/>
              <w:left w:val="single" w:sz="4" w:space="0" w:color="auto"/>
              <w:bottom w:val="single" w:sz="4" w:space="0" w:color="auto"/>
              <w:right w:val="single" w:sz="6" w:space="0" w:color="auto"/>
            </w:tcBorders>
          </w:tcPr>
          <w:p w:rsidR="00661307" w:rsidRPr="0006031B" w:rsidRDefault="00661307" w:rsidP="007023BA">
            <w:pPr>
              <w:spacing w:line="260" w:lineRule="exact"/>
              <w:rPr>
                <w:rFonts w:ascii="宋体" w:hAnsi="宋体"/>
                <w:color w:val="000000" w:themeColor="text1"/>
                <w:sz w:val="18"/>
                <w:szCs w:val="18"/>
              </w:rPr>
            </w:pPr>
          </w:p>
        </w:tc>
      </w:tr>
      <w:tr w:rsidR="00661307" w:rsidRPr="0006031B" w:rsidTr="005D462E">
        <w:trPr>
          <w:trHeight w:val="844"/>
        </w:trPr>
        <w:tc>
          <w:tcPr>
            <w:tcW w:w="798" w:type="dxa"/>
            <w:tcBorders>
              <w:top w:val="single" w:sz="4" w:space="0" w:color="auto"/>
              <w:left w:val="single" w:sz="6" w:space="0" w:color="auto"/>
              <w:bottom w:val="single" w:sz="6" w:space="0" w:color="auto"/>
              <w:right w:val="single" w:sz="4" w:space="0" w:color="auto"/>
            </w:tcBorders>
            <w:vAlign w:val="center"/>
          </w:tcPr>
          <w:p w:rsidR="00661307" w:rsidRPr="007023BA" w:rsidRDefault="00442467" w:rsidP="007023BA">
            <w:pPr>
              <w:spacing w:line="260" w:lineRule="exact"/>
              <w:jc w:val="center"/>
              <w:rPr>
                <w:rFonts w:ascii="黑体" w:eastAsia="黑体" w:hAnsi="黑体" w:cs="黑体"/>
                <w:color w:val="000000" w:themeColor="text1"/>
                <w:szCs w:val="21"/>
              </w:rPr>
            </w:pPr>
            <w:r w:rsidRPr="007023BA">
              <w:rPr>
                <w:rFonts w:ascii="黑体" w:eastAsia="黑体" w:hAnsi="黑体" w:cs="黑体" w:hint="eastAsia"/>
                <w:color w:val="000000" w:themeColor="text1"/>
                <w:szCs w:val="21"/>
              </w:rPr>
              <w:t>医师</w:t>
            </w:r>
          </w:p>
          <w:p w:rsidR="00661307" w:rsidRPr="007023BA" w:rsidRDefault="00442467" w:rsidP="007023BA">
            <w:pPr>
              <w:spacing w:line="260" w:lineRule="exact"/>
              <w:jc w:val="center"/>
              <w:rPr>
                <w:rFonts w:ascii="宋体" w:hAnsi="宋体"/>
                <w:color w:val="000000" w:themeColor="text1"/>
                <w:sz w:val="18"/>
                <w:szCs w:val="18"/>
              </w:rPr>
            </w:pPr>
            <w:r w:rsidRPr="007023BA">
              <w:rPr>
                <w:rFonts w:ascii="黑体" w:eastAsia="黑体" w:hAnsi="黑体" w:cs="黑体" w:hint="eastAsia"/>
                <w:color w:val="000000" w:themeColor="text1"/>
                <w:szCs w:val="21"/>
              </w:rPr>
              <w:t>签名</w:t>
            </w:r>
          </w:p>
        </w:tc>
        <w:tc>
          <w:tcPr>
            <w:tcW w:w="4400" w:type="dxa"/>
            <w:tcBorders>
              <w:top w:val="single" w:sz="4" w:space="0" w:color="auto"/>
              <w:left w:val="single" w:sz="4" w:space="0" w:color="auto"/>
              <w:bottom w:val="single" w:sz="6" w:space="0" w:color="auto"/>
              <w:right w:val="single" w:sz="4" w:space="0" w:color="auto"/>
            </w:tcBorders>
          </w:tcPr>
          <w:p w:rsidR="00661307" w:rsidRPr="0006031B" w:rsidRDefault="00661307" w:rsidP="007023BA">
            <w:pPr>
              <w:spacing w:line="260" w:lineRule="exact"/>
              <w:rPr>
                <w:rFonts w:ascii="宋体" w:hAnsi="宋体"/>
                <w:color w:val="000000" w:themeColor="text1"/>
                <w:sz w:val="18"/>
                <w:szCs w:val="18"/>
              </w:rPr>
            </w:pPr>
          </w:p>
        </w:tc>
        <w:tc>
          <w:tcPr>
            <w:tcW w:w="4517" w:type="dxa"/>
            <w:tcBorders>
              <w:top w:val="single" w:sz="4" w:space="0" w:color="auto"/>
              <w:left w:val="single" w:sz="4" w:space="0" w:color="auto"/>
              <w:bottom w:val="single" w:sz="6" w:space="0" w:color="auto"/>
              <w:right w:val="single" w:sz="6" w:space="0" w:color="auto"/>
            </w:tcBorders>
          </w:tcPr>
          <w:p w:rsidR="00661307" w:rsidRPr="0006031B" w:rsidRDefault="00661307" w:rsidP="007023BA">
            <w:pPr>
              <w:spacing w:line="260" w:lineRule="exact"/>
              <w:rPr>
                <w:rFonts w:ascii="宋体" w:hAnsi="宋体"/>
                <w:color w:val="000000" w:themeColor="text1"/>
                <w:sz w:val="18"/>
                <w:szCs w:val="18"/>
              </w:rPr>
            </w:pPr>
          </w:p>
        </w:tc>
      </w:tr>
      <w:bookmarkEnd w:id="1"/>
    </w:tbl>
    <w:p w:rsidR="00661307" w:rsidRPr="0006031B" w:rsidRDefault="00661307" w:rsidP="007023BA">
      <w:pPr>
        <w:spacing w:line="360" w:lineRule="auto"/>
        <w:rPr>
          <w:color w:val="000000" w:themeColor="text1"/>
        </w:rPr>
      </w:pPr>
    </w:p>
    <w:p w:rsidR="00661307" w:rsidRPr="0006031B" w:rsidRDefault="00661307" w:rsidP="007023BA">
      <w:pPr>
        <w:spacing w:line="360" w:lineRule="auto"/>
        <w:rPr>
          <w:color w:val="000000" w:themeColor="text1"/>
        </w:rPr>
      </w:pPr>
    </w:p>
    <w:sectPr w:rsidR="00661307" w:rsidRPr="0006031B" w:rsidSect="006613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3E" w:rsidRDefault="00045C3E" w:rsidP="0006031B">
      <w:r>
        <w:separator/>
      </w:r>
    </w:p>
  </w:endnote>
  <w:endnote w:type="continuationSeparator" w:id="0">
    <w:p w:rsidR="00045C3E" w:rsidRDefault="00045C3E" w:rsidP="0006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3E" w:rsidRDefault="00045C3E" w:rsidP="0006031B">
      <w:r>
        <w:separator/>
      </w:r>
    </w:p>
  </w:footnote>
  <w:footnote w:type="continuationSeparator" w:id="0">
    <w:p w:rsidR="00045C3E" w:rsidRDefault="00045C3E" w:rsidP="00060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744C6"/>
    <w:multiLevelType w:val="multilevel"/>
    <w:tmpl w:val="4A4744C6"/>
    <w:lvl w:ilvl="0">
      <w:start w:val="1"/>
      <w:numFmt w:val="bullet"/>
      <w:suff w:val="nothing"/>
      <w:lvlText w:val="□"/>
      <w:lvlJc w:val="left"/>
      <w:pPr>
        <w:ind w:left="363" w:hanging="363"/>
      </w:pPr>
      <w:rPr>
        <w:rFonts w:ascii="宋体" w:eastAsia="宋体" w:hAnsi="宋体" w:hint="eastAsia"/>
        <w:lang w:val="en-US"/>
      </w:rPr>
    </w:lvl>
    <w:lvl w:ilvl="1">
      <w:start w:val="1"/>
      <w:numFmt w:val="decimal"/>
      <w:lvlText w:val="%2."/>
      <w:lvlJc w:val="left"/>
      <w:pPr>
        <w:tabs>
          <w:tab w:val="left" w:pos="1440"/>
        </w:tabs>
        <w:ind w:left="1440" w:hanging="360"/>
      </w:pPr>
      <w:rPr>
        <w:rFonts w:cs="Times New Roman" w:hint="eastAsia"/>
      </w:rPr>
    </w:lvl>
    <w:lvl w:ilvl="2">
      <w:start w:val="1"/>
      <w:numFmt w:val="decimal"/>
      <w:lvlText w:val="%3."/>
      <w:lvlJc w:val="left"/>
      <w:pPr>
        <w:tabs>
          <w:tab w:val="left" w:pos="2160"/>
        </w:tabs>
        <w:ind w:left="2160" w:hanging="360"/>
      </w:pPr>
      <w:rPr>
        <w:rFonts w:cs="Times New Roman" w:hint="eastAsia"/>
      </w:rPr>
    </w:lvl>
    <w:lvl w:ilvl="3">
      <w:start w:val="1"/>
      <w:numFmt w:val="decimal"/>
      <w:lvlText w:val="%4."/>
      <w:lvlJc w:val="left"/>
      <w:pPr>
        <w:tabs>
          <w:tab w:val="left" w:pos="2880"/>
        </w:tabs>
        <w:ind w:left="2880" w:hanging="360"/>
      </w:pPr>
      <w:rPr>
        <w:rFonts w:cs="Times New Roman" w:hint="eastAsia"/>
      </w:rPr>
    </w:lvl>
    <w:lvl w:ilvl="4">
      <w:start w:val="1"/>
      <w:numFmt w:val="decimal"/>
      <w:lvlText w:val="%5."/>
      <w:lvlJc w:val="left"/>
      <w:pPr>
        <w:tabs>
          <w:tab w:val="left" w:pos="3600"/>
        </w:tabs>
        <w:ind w:left="3600" w:hanging="360"/>
      </w:pPr>
      <w:rPr>
        <w:rFonts w:cs="Times New Roman" w:hint="eastAsia"/>
      </w:rPr>
    </w:lvl>
    <w:lvl w:ilvl="5">
      <w:start w:val="1"/>
      <w:numFmt w:val="decimal"/>
      <w:lvlText w:val="%6."/>
      <w:lvlJc w:val="left"/>
      <w:pPr>
        <w:tabs>
          <w:tab w:val="left" w:pos="4320"/>
        </w:tabs>
        <w:ind w:left="4320" w:hanging="360"/>
      </w:pPr>
      <w:rPr>
        <w:rFonts w:cs="Times New Roman" w:hint="eastAsia"/>
      </w:rPr>
    </w:lvl>
    <w:lvl w:ilvl="6">
      <w:start w:val="1"/>
      <w:numFmt w:val="decimal"/>
      <w:lvlText w:val="%7."/>
      <w:lvlJc w:val="left"/>
      <w:pPr>
        <w:tabs>
          <w:tab w:val="left" w:pos="5040"/>
        </w:tabs>
        <w:ind w:left="5040" w:hanging="360"/>
      </w:pPr>
      <w:rPr>
        <w:rFonts w:cs="Times New Roman" w:hint="eastAsia"/>
      </w:rPr>
    </w:lvl>
    <w:lvl w:ilvl="7">
      <w:start w:val="1"/>
      <w:numFmt w:val="decimal"/>
      <w:lvlText w:val="%8."/>
      <w:lvlJc w:val="left"/>
      <w:pPr>
        <w:tabs>
          <w:tab w:val="left" w:pos="5760"/>
        </w:tabs>
        <w:ind w:left="5760" w:hanging="360"/>
      </w:pPr>
      <w:rPr>
        <w:rFonts w:cs="Times New Roman" w:hint="eastAsia"/>
      </w:rPr>
    </w:lvl>
    <w:lvl w:ilvl="8">
      <w:start w:val="1"/>
      <w:numFmt w:val="decimal"/>
      <w:lvlText w:val="%9."/>
      <w:lvlJc w:val="left"/>
      <w:pPr>
        <w:tabs>
          <w:tab w:val="left" w:pos="6480"/>
        </w:tabs>
        <w:ind w:left="6480" w:hanging="360"/>
      </w:pPr>
      <w:rPr>
        <w:rFonts w:cs="Times New Roman" w:hint="eastAsia"/>
      </w:rPr>
    </w:lvl>
  </w:abstractNum>
  <w:abstractNum w:abstractNumId="1">
    <w:nsid w:val="70703F4B"/>
    <w:multiLevelType w:val="multilevel"/>
    <w:tmpl w:val="70703F4B"/>
    <w:lvl w:ilvl="0">
      <w:start w:val="1"/>
      <w:numFmt w:val="bullet"/>
      <w:lvlText w:val="□"/>
      <w:lvlJc w:val="left"/>
      <w:pPr>
        <w:tabs>
          <w:tab w:val="left" w:pos="363"/>
        </w:tabs>
        <w:ind w:left="363" w:hanging="363"/>
      </w:pPr>
      <w:rPr>
        <w:rFonts w:ascii="宋体" w:eastAsia="宋体" w:hAnsi="宋体"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1307"/>
    <w:rsid w:val="00045C3E"/>
    <w:rsid w:val="0006031B"/>
    <w:rsid w:val="000F65A2"/>
    <w:rsid w:val="00442467"/>
    <w:rsid w:val="005D462E"/>
    <w:rsid w:val="00661307"/>
    <w:rsid w:val="00695B18"/>
    <w:rsid w:val="007023BA"/>
    <w:rsid w:val="007C4369"/>
    <w:rsid w:val="00957376"/>
    <w:rsid w:val="00C353F3"/>
    <w:rsid w:val="00C437B6"/>
    <w:rsid w:val="00C76A5D"/>
    <w:rsid w:val="00CB79B0"/>
    <w:rsid w:val="00D107E6"/>
    <w:rsid w:val="00DF5381"/>
    <w:rsid w:val="00E30D63"/>
    <w:rsid w:val="00F45E96"/>
    <w:rsid w:val="00FF0B75"/>
    <w:rsid w:val="29147AEF"/>
    <w:rsid w:val="664105E0"/>
    <w:rsid w:val="6F972C1F"/>
    <w:rsid w:val="75647A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4C1ACA-2F19-4CE7-93EC-DB8D2404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30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0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031B"/>
    <w:rPr>
      <w:rFonts w:ascii="Times New Roman" w:eastAsia="宋体" w:hAnsi="Times New Roman" w:cs="Times New Roman"/>
      <w:kern w:val="2"/>
      <w:sz w:val="18"/>
      <w:szCs w:val="18"/>
    </w:rPr>
  </w:style>
  <w:style w:type="paragraph" w:styleId="a4">
    <w:name w:val="footer"/>
    <w:basedOn w:val="a"/>
    <w:link w:val="Char0"/>
    <w:rsid w:val="0006031B"/>
    <w:pPr>
      <w:tabs>
        <w:tab w:val="center" w:pos="4153"/>
        <w:tab w:val="right" w:pos="8306"/>
      </w:tabs>
      <w:snapToGrid w:val="0"/>
      <w:jc w:val="left"/>
    </w:pPr>
    <w:rPr>
      <w:sz w:val="18"/>
      <w:szCs w:val="18"/>
    </w:rPr>
  </w:style>
  <w:style w:type="character" w:customStyle="1" w:styleId="Char0">
    <w:name w:val="页脚 Char"/>
    <w:basedOn w:val="a0"/>
    <w:link w:val="a4"/>
    <w:rsid w:val="0006031B"/>
    <w:rPr>
      <w:rFonts w:ascii="Times New Roman" w:eastAsia="宋体" w:hAnsi="Times New Roman" w:cs="Times New Roman"/>
      <w:kern w:val="2"/>
      <w:sz w:val="18"/>
      <w:szCs w:val="18"/>
    </w:rPr>
  </w:style>
  <w:style w:type="paragraph" w:styleId="a5">
    <w:name w:val="Balloon Text"/>
    <w:basedOn w:val="a"/>
    <w:link w:val="Char1"/>
    <w:semiHidden/>
    <w:unhideWhenUsed/>
    <w:rsid w:val="00DF5381"/>
    <w:rPr>
      <w:sz w:val="18"/>
      <w:szCs w:val="18"/>
    </w:rPr>
  </w:style>
  <w:style w:type="character" w:customStyle="1" w:styleId="Char1">
    <w:name w:val="批注框文本 Char"/>
    <w:basedOn w:val="a0"/>
    <w:link w:val="a5"/>
    <w:semiHidden/>
    <w:rsid w:val="00DF538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13</cp:revision>
  <dcterms:created xsi:type="dcterms:W3CDTF">2016-11-01T06:56:00Z</dcterms:created>
  <dcterms:modified xsi:type="dcterms:W3CDTF">2016-11-28T05:59:00Z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