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6F" w:rsidRPr="005D24A5" w:rsidRDefault="00262693" w:rsidP="005D24A5">
      <w:pPr>
        <w:pStyle w:val="a5"/>
        <w:rPr>
          <w:sz w:val="44"/>
          <w:szCs w:val="44"/>
          <w:lang w:val="en-GB"/>
        </w:rPr>
      </w:pPr>
      <w:r w:rsidRPr="005D24A5">
        <w:rPr>
          <w:rFonts w:hint="eastAsia"/>
          <w:sz w:val="44"/>
          <w:szCs w:val="44"/>
          <w:lang w:val="en-GB"/>
        </w:rPr>
        <w:t>原发性血小板增多症临床路径</w:t>
      </w:r>
    </w:p>
    <w:p w:rsidR="000A4A6F" w:rsidRDefault="00262693">
      <w:pPr>
        <w:spacing w:line="360" w:lineRule="auto"/>
        <w:jc w:val="center"/>
        <w:rPr>
          <w:rFonts w:ascii="仿宋_GB2312" w:eastAsia="仿宋_GB2312" w:hAnsi="楷体_GB2312"/>
          <w:bCs/>
          <w:sz w:val="32"/>
          <w:szCs w:val="32"/>
        </w:rPr>
      </w:pPr>
      <w:r>
        <w:rPr>
          <w:rFonts w:ascii="仿宋_GB2312" w:eastAsia="仿宋_GB2312" w:hAnsi="楷体_GB2312" w:hint="eastAsia"/>
          <w:bCs/>
          <w:sz w:val="32"/>
          <w:szCs w:val="32"/>
        </w:rPr>
        <w:t>（2016年版）</w:t>
      </w:r>
    </w:p>
    <w:p w:rsidR="000A4A6F" w:rsidRDefault="000A4A6F">
      <w:pPr>
        <w:spacing w:line="360" w:lineRule="auto"/>
        <w:jc w:val="center"/>
        <w:rPr>
          <w:rFonts w:ascii="仿宋_GB2312" w:eastAsia="仿宋_GB2312" w:hAnsi="楷体_GB2312"/>
          <w:bCs/>
          <w:sz w:val="32"/>
          <w:szCs w:val="32"/>
        </w:rPr>
      </w:pPr>
    </w:p>
    <w:p w:rsidR="000A4A6F" w:rsidRDefault="00262693">
      <w:pPr>
        <w:adjustRightInd w:val="0"/>
        <w:snapToGrid w:val="0"/>
        <w:spacing w:line="360" w:lineRule="auto"/>
        <w:ind w:firstLineChars="200" w:firstLine="640"/>
        <w:rPr>
          <w:rFonts w:ascii="黑体" w:eastAsia="黑体"/>
          <w:color w:val="000000"/>
          <w:sz w:val="32"/>
          <w:szCs w:val="32"/>
          <w:lang w:val="en-GB"/>
        </w:rPr>
      </w:pPr>
      <w:r>
        <w:rPr>
          <w:rFonts w:ascii="黑体" w:eastAsia="黑体" w:hint="eastAsia"/>
          <w:color w:val="000000"/>
          <w:sz w:val="32"/>
          <w:szCs w:val="32"/>
          <w:lang w:val="en-GB"/>
        </w:rPr>
        <w:t>一、原发性血小板增多症（ET）临床路径标准住院流程</w:t>
      </w:r>
    </w:p>
    <w:p w:rsidR="000A4A6F" w:rsidRDefault="00262693" w:rsidP="00BC7B55">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（一）适用对象</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第一诊断为原发性血小板增多症（ICD-M99500/1）。</w:t>
      </w:r>
    </w:p>
    <w:p w:rsidR="000A4A6F" w:rsidRDefault="00262693" w:rsidP="00BC7B55">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（二）诊断依据</w:t>
      </w:r>
    </w:p>
    <w:p w:rsidR="000A4A6F" w:rsidRDefault="00262693" w:rsidP="005D24A5">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根据</w:t>
      </w:r>
      <w:r>
        <w:rPr>
          <w:rFonts w:ascii="仿宋_GB2312" w:eastAsia="仿宋_GB2312" w:hint="eastAsia"/>
          <w:color w:val="000000"/>
          <w:sz w:val="32"/>
          <w:szCs w:val="32"/>
          <w:lang w:val="de-DE"/>
        </w:rPr>
        <w:t>《</w:t>
      </w:r>
      <w:r>
        <w:rPr>
          <w:rFonts w:ascii="仿宋_GB2312" w:eastAsia="仿宋_GB2312" w:hint="eastAsia"/>
          <w:color w:val="000000"/>
          <w:sz w:val="32"/>
          <w:szCs w:val="32"/>
          <w:lang w:val="en-GB"/>
        </w:rPr>
        <w:t>World Health Organization Classification of Tumors. Pathology and Genetic of Tumors of Haematopoietic and Lymphoid Tissue.》（2008），《Response criteria for essential thrombocythemia and polycythemia vera: result of a European LeukemiaNet consensus conference》（Blood,2009;113:4829-4833）</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诊断需符合以下四条标准：</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持续性血小板计数≥450×10</w:t>
      </w:r>
      <w:r>
        <w:rPr>
          <w:rFonts w:ascii="仿宋_GB2312" w:eastAsia="仿宋_GB2312" w:hint="eastAsia"/>
          <w:color w:val="000000"/>
          <w:sz w:val="32"/>
          <w:szCs w:val="32"/>
          <w:vertAlign w:val="superscript"/>
          <w:lang w:val="en-GB"/>
        </w:rPr>
        <w:t>9</w:t>
      </w:r>
      <w:r>
        <w:rPr>
          <w:rFonts w:ascii="仿宋_GB2312" w:eastAsia="仿宋_GB2312" w:hint="eastAsia"/>
          <w:color w:val="000000"/>
          <w:sz w:val="32"/>
          <w:szCs w:val="32"/>
          <w:lang w:val="en-GB"/>
        </w:rPr>
        <w:t>/L。</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骨髓活检示巨核细胞高度增生，主要呈大型的成熟巨核细胞数增多，粒系或红系无显著增生或左移。</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不能满足真性红细胞增多症、慢性粒细胞白血病、慢性特发性骨髓纤维化、骨髓增生异常综合征（无粒系和红系病态造血）或其他髓系肿瘤的WHO标准。</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有JAK2V617F突变或其他克隆性标志，或没有一个克隆性标志，无已知反应性血小板增多的证据（如铁缺乏，脾切</w:t>
      </w:r>
      <w:r>
        <w:rPr>
          <w:rFonts w:ascii="仿宋_GB2312" w:eastAsia="仿宋_GB2312" w:hint="eastAsia"/>
          <w:color w:val="000000"/>
          <w:sz w:val="32"/>
          <w:szCs w:val="32"/>
          <w:lang w:val="en-GB"/>
        </w:rPr>
        <w:lastRenderedPageBreak/>
        <w:t>除术后，外科手术，感染，炎症，结缔组织病，转移瘤，淋巴细胞增殖性疾病等）。</w:t>
      </w:r>
    </w:p>
    <w:p w:rsidR="000A4A6F" w:rsidRDefault="00262693" w:rsidP="00BC7B55">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（三）标准住院日为10天内。</w:t>
      </w:r>
    </w:p>
    <w:p w:rsidR="000A4A6F" w:rsidRDefault="00262693" w:rsidP="00BC7B55">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（四）进入路径标准。</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1.第一诊断必须符合ICD-M99500/1原发性血小板增多症疾病编码。</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2.当患者同时具有其他疾病诊断，但住院期间不需要特殊处理也不影响第一诊断的临床路径流程实施时，可以进入路径。</w:t>
      </w:r>
    </w:p>
    <w:p w:rsidR="000A4A6F" w:rsidRDefault="00262693" w:rsidP="00BC7B55">
      <w:pPr>
        <w:tabs>
          <w:tab w:val="left" w:pos="1360"/>
        </w:tabs>
        <w:spacing w:line="360" w:lineRule="auto"/>
        <w:ind w:firstLineChars="50" w:firstLine="161"/>
        <w:rPr>
          <w:rFonts w:ascii="楷体" w:eastAsia="楷体" w:hAnsi="楷体"/>
          <w:color w:val="000000"/>
          <w:sz w:val="32"/>
          <w:szCs w:val="32"/>
        </w:rPr>
      </w:pPr>
      <w:r>
        <w:rPr>
          <w:rFonts w:ascii="楷体_GB2312" w:eastAsia="楷体_GB2312" w:hint="eastAsia"/>
          <w:b/>
          <w:color w:val="000000"/>
          <w:sz w:val="32"/>
          <w:szCs w:val="32"/>
          <w:lang w:val="en-GB"/>
        </w:rPr>
        <w:t>（五）住院期间检查项目：</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1.必需检查项目：</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（1）血常规及分类、尿常规、大便常规+潜血；</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（2）骨髓细胞形态学检查、骨髓活检及嗜银染色、骨髓组织细胞化学染色（N-ALP、铁染色、CD41巨核细胞酶标）、细胞遗传学和JAK2/V617F、BCR/ABL（P190、P210、P230）基因突变检测；</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（3）肝肾功能、电解质、心肌酶谱、乳酸脱氢酶及同工酶、血型、输血前检查（HIV-Ab、TP-Ab、肝炎全项）、血清铁四项、凝血功能；</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（4）胸片、心电图、腹部B超。</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2.根据患者情况可选择：铁蛋白、ENA抗体谱、免疫球蛋白定量、血小板黏附和聚集试验、蛋白C、蛋白S、叶酸、</w:t>
      </w:r>
      <w:r>
        <w:rPr>
          <w:rFonts w:ascii="仿宋_GB2312" w:eastAsia="仿宋_GB2312" w:hint="eastAsia"/>
          <w:color w:val="000000"/>
          <w:sz w:val="32"/>
          <w:szCs w:val="32"/>
          <w:lang w:val="en-GB"/>
        </w:rPr>
        <w:lastRenderedPageBreak/>
        <w:t>维生素B12、淋巴细胞亚群、细胞因子、转铁蛋白及受体、促红细胞生成素（sEPO）、JAK2exon12、MPL W515L/K、CALR exon9基因突变筛查。</w:t>
      </w:r>
    </w:p>
    <w:p w:rsidR="000A4A6F" w:rsidRDefault="00262693" w:rsidP="00BC7B55">
      <w:pPr>
        <w:tabs>
          <w:tab w:val="left" w:pos="1360"/>
        </w:tabs>
        <w:spacing w:line="360" w:lineRule="auto"/>
        <w:ind w:firstLineChars="50" w:firstLine="161"/>
        <w:rPr>
          <w:rFonts w:ascii="楷体_GB2312" w:eastAsia="楷体_GB2312"/>
          <w:b/>
          <w:color w:val="000000"/>
          <w:sz w:val="32"/>
          <w:szCs w:val="32"/>
          <w:lang w:val="en-GB"/>
        </w:rPr>
      </w:pPr>
      <w:r>
        <w:rPr>
          <w:rFonts w:ascii="楷体_GB2312" w:eastAsia="楷体_GB2312" w:hint="eastAsia"/>
          <w:b/>
          <w:color w:val="000000"/>
          <w:sz w:val="32"/>
          <w:szCs w:val="32"/>
          <w:lang w:val="en-GB"/>
        </w:rPr>
        <w:t>（六）、治疗开始于诊断第一天。</w:t>
      </w:r>
    </w:p>
    <w:p w:rsidR="000A4A6F" w:rsidRDefault="00262693" w:rsidP="00BC7B55">
      <w:pPr>
        <w:tabs>
          <w:tab w:val="left" w:pos="1360"/>
        </w:tabs>
        <w:spacing w:line="360" w:lineRule="auto"/>
        <w:ind w:firstLineChars="50" w:firstLine="161"/>
        <w:rPr>
          <w:rFonts w:ascii="楷体_GB2312" w:eastAsia="楷体_GB2312"/>
          <w:b/>
          <w:color w:val="000000"/>
          <w:sz w:val="32"/>
          <w:szCs w:val="32"/>
          <w:lang w:val="en-GB"/>
        </w:rPr>
      </w:pPr>
      <w:r>
        <w:rPr>
          <w:rFonts w:ascii="楷体_GB2312" w:eastAsia="楷体_GB2312" w:hint="eastAsia"/>
          <w:b/>
          <w:color w:val="000000"/>
          <w:sz w:val="32"/>
          <w:szCs w:val="32"/>
          <w:lang w:val="en-GB"/>
        </w:rPr>
        <w:t>（七）、治疗方案与药物选择。</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（1）低危：年龄＜60岁且无血栓病史；</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（2）高危：年龄≥60岁和/或伴有血栓病史。</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2.治疗目标：</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（1）减少血栓或出血的风险；</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（2）降低向白血病及骨髓纤维化转化的风险。</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3.治疗方案：</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3.1 低危组：</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（1）不伴血小板高于1000×10</w:t>
      </w:r>
      <w:r>
        <w:rPr>
          <w:rFonts w:ascii="仿宋_GB2312" w:eastAsia="仿宋_GB2312" w:hint="eastAsia"/>
          <w:color w:val="000000"/>
          <w:sz w:val="32"/>
          <w:szCs w:val="32"/>
          <w:vertAlign w:val="superscript"/>
          <w:lang w:val="en-GB"/>
        </w:rPr>
        <w:t>9</w:t>
      </w:r>
      <w:r>
        <w:rPr>
          <w:rFonts w:ascii="仿宋_GB2312" w:eastAsia="仿宋_GB2312" w:hint="eastAsia"/>
          <w:color w:val="000000"/>
          <w:sz w:val="32"/>
          <w:szCs w:val="32"/>
          <w:lang w:val="en-GB"/>
        </w:rPr>
        <w:t>/L者给予低剂量阿司匹林75-100mg/d口服，但既往有出血病史或血小板&gt;1000×10</w:t>
      </w:r>
      <w:r>
        <w:rPr>
          <w:rFonts w:ascii="仿宋_GB2312" w:eastAsia="仿宋_GB2312" w:hint="eastAsia"/>
          <w:color w:val="000000"/>
          <w:sz w:val="32"/>
          <w:szCs w:val="32"/>
          <w:vertAlign w:val="superscript"/>
          <w:lang w:val="en-GB"/>
        </w:rPr>
        <w:t>9</w:t>
      </w:r>
      <w:r>
        <w:rPr>
          <w:rFonts w:ascii="仿宋_GB2312" w:eastAsia="仿宋_GB2312" w:hint="eastAsia"/>
          <w:color w:val="000000"/>
          <w:sz w:val="32"/>
          <w:szCs w:val="32"/>
          <w:lang w:val="en-GB"/>
        </w:rPr>
        <w:t>/L者避免应用；</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（2）避免容易诱发血栓形成的心血管危险因素：如吸烟、高血压、高胆固醇血症、肥胖等；</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3.2 高危组：</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（1）小剂量阿司匹林：75-100mg/d，口服，但既往有出血病史或血小板&gt;1000×10</w:t>
      </w:r>
      <w:r>
        <w:rPr>
          <w:rFonts w:ascii="仿宋_GB2312" w:eastAsia="仿宋_GB2312" w:hint="eastAsia"/>
          <w:color w:val="000000"/>
          <w:sz w:val="32"/>
          <w:szCs w:val="32"/>
          <w:vertAlign w:val="superscript"/>
          <w:lang w:val="en-GB"/>
        </w:rPr>
        <w:t>9</w:t>
      </w:r>
      <w:r>
        <w:rPr>
          <w:rFonts w:ascii="仿宋_GB2312" w:eastAsia="仿宋_GB2312" w:hint="eastAsia"/>
          <w:color w:val="000000"/>
          <w:sz w:val="32"/>
          <w:szCs w:val="32"/>
          <w:lang w:val="en-GB"/>
        </w:rPr>
        <w:t>/L者避免应用；</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（2）避免容易诱发血栓形成的心血管危险因素：如吸烟、高血压、高胆固醇血症、肥胖等；</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lastRenderedPageBreak/>
        <w:t>（3）骨髓抑制药物治疗：</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（3.1）年龄&lt;40岁，一线治疗为干扰素300wu iH每周三次；二线治疗可以应用羟基脲，起始剂量30mg/kg/d口服，一周后减至5-20 mg/kg/d，依血常规调整药物剂量。对干扰素、羟基脲治疗不能耐受或耐药者，可应用阿那格雷。</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（3.2）年龄40-75岁，一线治疗为羟基脲，二线治疗可应用干扰素、阿那格雷。</w:t>
      </w:r>
    </w:p>
    <w:p w:rsidR="000A4A6F" w:rsidRDefault="00262693" w:rsidP="00BC7B55">
      <w:pPr>
        <w:tabs>
          <w:tab w:val="left" w:pos="1360"/>
        </w:tabs>
        <w:spacing w:line="0" w:lineRule="atLeast"/>
        <w:ind w:firstLineChars="50" w:firstLine="161"/>
        <w:rPr>
          <w:rFonts w:ascii="楷体_GB2312" w:eastAsia="楷体_GB2312"/>
          <w:b/>
          <w:color w:val="000000"/>
          <w:sz w:val="32"/>
          <w:szCs w:val="32"/>
          <w:lang w:val="en-GB"/>
        </w:rPr>
      </w:pPr>
      <w:r>
        <w:rPr>
          <w:rFonts w:ascii="楷体_GB2312" w:eastAsia="楷体_GB2312" w:hint="eastAsia"/>
          <w:b/>
          <w:color w:val="000000"/>
          <w:sz w:val="32"/>
          <w:szCs w:val="32"/>
          <w:lang w:val="en-GB"/>
        </w:rPr>
        <w:t>（八）出院标准。</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1.一般情况良好。</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2.没有需要住院处理的并发症和/或合并症。</w:t>
      </w:r>
    </w:p>
    <w:p w:rsidR="000A4A6F" w:rsidRDefault="00262693" w:rsidP="00BC7B55">
      <w:pPr>
        <w:tabs>
          <w:tab w:val="left" w:pos="1360"/>
        </w:tabs>
        <w:spacing w:line="0" w:lineRule="atLeast"/>
        <w:ind w:firstLineChars="50" w:firstLine="161"/>
        <w:rPr>
          <w:rFonts w:ascii="楷体_GB2312" w:eastAsia="楷体_GB2312"/>
          <w:b/>
          <w:color w:val="000000"/>
          <w:sz w:val="32"/>
          <w:szCs w:val="32"/>
          <w:lang w:val="en-GB"/>
        </w:rPr>
      </w:pPr>
      <w:r>
        <w:rPr>
          <w:rFonts w:ascii="楷体_GB2312" w:eastAsia="楷体_GB2312" w:hint="eastAsia"/>
          <w:b/>
          <w:color w:val="000000"/>
          <w:sz w:val="32"/>
          <w:szCs w:val="32"/>
          <w:lang w:val="en-GB"/>
        </w:rPr>
        <w:t>（九）变异及原因分析。</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1.治疗中或治疗后有血栓、出血及其他合并症者，进行相关的诊断和治疗，并适当延长住院时间或退出路径。</w:t>
      </w:r>
    </w:p>
    <w:p w:rsidR="000A4A6F" w:rsidRDefault="0026269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2.疾病进展期的患者退出路径。</w:t>
      </w:r>
    </w:p>
    <w:p w:rsidR="000A4A6F" w:rsidRDefault="000A4A6F">
      <w:pPr>
        <w:spacing w:line="360" w:lineRule="auto"/>
        <w:ind w:leftChars="171" w:left="359"/>
        <w:rPr>
          <w:rFonts w:eastAsia="仿宋"/>
          <w:sz w:val="32"/>
          <w:szCs w:val="32"/>
        </w:rPr>
      </w:pPr>
    </w:p>
    <w:p w:rsidR="00BC7B55" w:rsidRDefault="00BC7B55">
      <w:pPr>
        <w:spacing w:line="360" w:lineRule="auto"/>
        <w:ind w:leftChars="171" w:left="359"/>
        <w:rPr>
          <w:rFonts w:eastAsia="仿宋"/>
          <w:sz w:val="32"/>
          <w:szCs w:val="32"/>
        </w:rPr>
      </w:pPr>
    </w:p>
    <w:p w:rsidR="00BC7B55" w:rsidRDefault="00BC7B55">
      <w:pPr>
        <w:spacing w:line="360" w:lineRule="auto"/>
        <w:ind w:leftChars="171" w:left="359"/>
        <w:rPr>
          <w:rFonts w:eastAsia="仿宋"/>
          <w:sz w:val="32"/>
          <w:szCs w:val="32"/>
        </w:rPr>
      </w:pPr>
    </w:p>
    <w:p w:rsidR="00BC7B55" w:rsidRDefault="00BC7B55">
      <w:pPr>
        <w:spacing w:line="360" w:lineRule="auto"/>
        <w:ind w:leftChars="171" w:left="359"/>
        <w:rPr>
          <w:rFonts w:eastAsia="仿宋"/>
          <w:sz w:val="32"/>
          <w:szCs w:val="32"/>
        </w:rPr>
      </w:pPr>
    </w:p>
    <w:p w:rsidR="00BC7B55" w:rsidRDefault="00BC7B55">
      <w:pPr>
        <w:spacing w:line="360" w:lineRule="auto"/>
        <w:ind w:leftChars="171" w:left="359"/>
        <w:rPr>
          <w:rFonts w:eastAsia="仿宋"/>
          <w:sz w:val="32"/>
          <w:szCs w:val="32"/>
        </w:rPr>
      </w:pPr>
    </w:p>
    <w:p w:rsidR="00BC7B55" w:rsidRDefault="00BC7B55">
      <w:pPr>
        <w:spacing w:line="360" w:lineRule="auto"/>
        <w:ind w:leftChars="171" w:left="359"/>
        <w:rPr>
          <w:rFonts w:eastAsia="仿宋"/>
          <w:sz w:val="32"/>
          <w:szCs w:val="32"/>
        </w:rPr>
      </w:pPr>
    </w:p>
    <w:p w:rsidR="00BC7B55" w:rsidRDefault="00BC7B55">
      <w:pPr>
        <w:spacing w:line="360" w:lineRule="auto"/>
        <w:ind w:leftChars="171" w:left="359"/>
        <w:rPr>
          <w:rFonts w:eastAsia="仿宋"/>
          <w:sz w:val="32"/>
          <w:szCs w:val="32"/>
        </w:rPr>
      </w:pPr>
    </w:p>
    <w:p w:rsidR="000A4A6F" w:rsidRPr="005D24A5" w:rsidRDefault="00262693" w:rsidP="00F73EEB">
      <w:pPr>
        <w:rPr>
          <w:rFonts w:ascii="黑体" w:eastAsia="黑体" w:hAnsi="黑体"/>
          <w:sz w:val="32"/>
          <w:szCs w:val="32"/>
        </w:rPr>
      </w:pPr>
      <w:bookmarkStart w:id="0" w:name="_GoBack"/>
      <w:bookmarkEnd w:id="0"/>
      <w:r w:rsidRPr="005D24A5">
        <w:rPr>
          <w:rFonts w:ascii="黑体" w:eastAsia="黑体" w:hAnsi="黑体"/>
          <w:bCs/>
          <w:sz w:val="32"/>
          <w:szCs w:val="32"/>
        </w:rPr>
        <w:t>二、原发性血小板增多症</w:t>
      </w:r>
      <w:r w:rsidRPr="005D24A5">
        <w:rPr>
          <w:rFonts w:ascii="黑体" w:eastAsia="黑体" w:hAnsi="黑体"/>
          <w:sz w:val="32"/>
          <w:szCs w:val="32"/>
        </w:rPr>
        <w:t>临床路径表单</w:t>
      </w:r>
    </w:p>
    <w:p w:rsidR="000A4A6F" w:rsidRDefault="00262693">
      <w:pPr>
        <w:rPr>
          <w:rFonts w:ascii="宋体" w:hAnsi="宋体" w:cs="宋体"/>
          <w:szCs w:val="21"/>
        </w:rPr>
      </w:pPr>
      <w:r>
        <w:rPr>
          <w:rFonts w:ascii="宋体" w:hAnsi="宋体" w:cs="宋体" w:hint="eastAsia"/>
          <w:szCs w:val="21"/>
        </w:rPr>
        <w:t>适用对象：</w:t>
      </w:r>
      <w:r>
        <w:rPr>
          <w:rFonts w:ascii="宋体" w:hAnsi="宋体" w:cs="宋体" w:hint="eastAsia"/>
          <w:b/>
          <w:szCs w:val="21"/>
        </w:rPr>
        <w:t>第一诊断为</w:t>
      </w:r>
      <w:r>
        <w:rPr>
          <w:rFonts w:ascii="宋体" w:hAnsi="宋体" w:cs="宋体" w:hint="eastAsia"/>
          <w:szCs w:val="21"/>
        </w:rPr>
        <w:t>原发性血小板增多症</w:t>
      </w:r>
    </w:p>
    <w:p w:rsidR="000A4A6F" w:rsidRDefault="00262693">
      <w:pPr>
        <w:rPr>
          <w:rFonts w:ascii="宋体" w:hAnsi="宋体" w:cs="宋体"/>
          <w:szCs w:val="21"/>
          <w:u w:val="single"/>
        </w:rPr>
      </w:pPr>
      <w:r>
        <w:rPr>
          <w:rFonts w:ascii="宋体" w:hAnsi="宋体" w:cs="宋体" w:hint="eastAsia"/>
          <w:szCs w:val="21"/>
        </w:rPr>
        <w:t>患者姓名：</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性别：</w:t>
      </w:r>
      <w:r>
        <w:rPr>
          <w:rFonts w:ascii="宋体" w:hAnsi="宋体" w:cs="宋体" w:hint="eastAsia"/>
          <w:szCs w:val="21"/>
          <w:u w:val="single"/>
        </w:rPr>
        <w:tab/>
      </w:r>
      <w:r>
        <w:rPr>
          <w:rFonts w:ascii="宋体" w:hAnsi="宋体" w:cs="宋体" w:hint="eastAsia"/>
          <w:szCs w:val="21"/>
        </w:rPr>
        <w:t>年龄：门诊号：</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rPr>
        <w:t>住院号：</w:t>
      </w:r>
    </w:p>
    <w:p w:rsidR="000A4A6F" w:rsidRDefault="00262693">
      <w:pPr>
        <w:rPr>
          <w:rFonts w:ascii="宋体" w:hAnsi="宋体" w:cs="宋体"/>
          <w:color w:val="FF0000"/>
          <w:szCs w:val="21"/>
        </w:rPr>
      </w:pPr>
      <w:r>
        <w:rPr>
          <w:rFonts w:ascii="宋体" w:hAnsi="宋体" w:cs="宋体" w:hint="eastAsia"/>
          <w:szCs w:val="21"/>
        </w:rPr>
        <w:lastRenderedPageBreak/>
        <w:t>住院日期：年月日出院日期：年月日标准住院日：10天内</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77"/>
        <w:gridCol w:w="4045"/>
      </w:tblGrid>
      <w:tr w:rsidR="000A4A6F">
        <w:trPr>
          <w:trHeight w:val="458"/>
          <w:jc w:val="center"/>
        </w:trPr>
        <w:tc>
          <w:tcPr>
            <w:tcW w:w="680" w:type="dxa"/>
            <w:tcBorders>
              <w:top w:val="double" w:sz="4" w:space="0" w:color="auto"/>
              <w:left w:val="double" w:sz="4" w:space="0" w:color="auto"/>
              <w:bottom w:val="double" w:sz="4" w:space="0" w:color="auto"/>
              <w:right w:val="double" w:sz="4"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时间</w:t>
            </w:r>
          </w:p>
        </w:tc>
        <w:tc>
          <w:tcPr>
            <w:tcW w:w="4577" w:type="dxa"/>
            <w:tcBorders>
              <w:top w:val="double" w:sz="4" w:space="0" w:color="auto"/>
              <w:left w:val="double" w:sz="4" w:space="0" w:color="auto"/>
              <w:bottom w:val="double" w:sz="4" w:space="0" w:color="auto"/>
              <w:right w:val="double" w:sz="4"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住院第1天</w:t>
            </w:r>
          </w:p>
        </w:tc>
        <w:tc>
          <w:tcPr>
            <w:tcW w:w="4045" w:type="dxa"/>
            <w:tcBorders>
              <w:top w:val="double" w:sz="4" w:space="0" w:color="auto"/>
              <w:left w:val="double" w:sz="4" w:space="0" w:color="auto"/>
              <w:bottom w:val="double" w:sz="4" w:space="0" w:color="auto"/>
              <w:right w:val="double" w:sz="4" w:space="0" w:color="auto"/>
            </w:tcBorders>
            <w:vAlign w:val="center"/>
          </w:tcPr>
          <w:p w:rsidR="000A4A6F" w:rsidRDefault="00262693">
            <w:pPr>
              <w:rPr>
                <w:rFonts w:asciiTheme="minorEastAsia" w:eastAsiaTheme="minorEastAsia" w:hAnsiTheme="minorEastAsia"/>
                <w:b/>
                <w:szCs w:val="21"/>
                <w:u w:val="single"/>
              </w:rPr>
            </w:pPr>
            <w:r>
              <w:rPr>
                <w:rFonts w:ascii="黑体" w:eastAsia="黑体" w:hAnsi="黑体" w:cs="黑体" w:hint="eastAsia"/>
                <w:bCs/>
                <w:szCs w:val="21"/>
              </w:rPr>
              <w:t>住院第2天</w:t>
            </w:r>
          </w:p>
        </w:tc>
      </w:tr>
      <w:tr w:rsidR="000A4A6F" w:rsidTr="00BC7B55">
        <w:trPr>
          <w:trHeight w:val="2310"/>
          <w:jc w:val="center"/>
        </w:trPr>
        <w:tc>
          <w:tcPr>
            <w:tcW w:w="680" w:type="dxa"/>
            <w:tcBorders>
              <w:top w:val="double" w:sz="4"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主</w:t>
            </w:r>
          </w:p>
          <w:p w:rsidR="000A4A6F" w:rsidRDefault="00262693">
            <w:pPr>
              <w:rPr>
                <w:rFonts w:ascii="黑体" w:eastAsia="黑体" w:hAnsi="黑体" w:cs="黑体"/>
                <w:bCs/>
                <w:szCs w:val="21"/>
              </w:rPr>
            </w:pPr>
            <w:r>
              <w:rPr>
                <w:rFonts w:ascii="黑体" w:eastAsia="黑体" w:hAnsi="黑体" w:cs="黑体" w:hint="eastAsia"/>
                <w:bCs/>
                <w:szCs w:val="21"/>
              </w:rPr>
              <w:t>要</w:t>
            </w:r>
          </w:p>
          <w:p w:rsidR="000A4A6F" w:rsidRDefault="00262693">
            <w:pPr>
              <w:rPr>
                <w:rFonts w:ascii="黑体" w:eastAsia="黑体" w:hAnsi="黑体" w:cs="黑体"/>
                <w:bCs/>
                <w:szCs w:val="21"/>
              </w:rPr>
            </w:pPr>
            <w:r>
              <w:rPr>
                <w:rFonts w:ascii="黑体" w:eastAsia="黑体" w:hAnsi="黑体" w:cs="黑体" w:hint="eastAsia"/>
                <w:bCs/>
                <w:szCs w:val="21"/>
              </w:rPr>
              <w:t>诊</w:t>
            </w:r>
          </w:p>
          <w:p w:rsidR="000A4A6F" w:rsidRDefault="00262693">
            <w:pPr>
              <w:rPr>
                <w:rFonts w:ascii="黑体" w:eastAsia="黑体" w:hAnsi="黑体" w:cs="黑体"/>
                <w:bCs/>
                <w:szCs w:val="21"/>
              </w:rPr>
            </w:pPr>
            <w:r>
              <w:rPr>
                <w:rFonts w:ascii="黑体" w:eastAsia="黑体" w:hAnsi="黑体" w:cs="黑体" w:hint="eastAsia"/>
                <w:bCs/>
                <w:szCs w:val="21"/>
              </w:rPr>
              <w:t>疗</w:t>
            </w:r>
          </w:p>
          <w:p w:rsidR="000A4A6F" w:rsidRDefault="00262693">
            <w:pPr>
              <w:rPr>
                <w:rFonts w:ascii="黑体" w:eastAsia="黑体" w:hAnsi="黑体" w:cs="黑体"/>
                <w:bCs/>
                <w:szCs w:val="21"/>
              </w:rPr>
            </w:pPr>
            <w:r>
              <w:rPr>
                <w:rFonts w:ascii="黑体" w:eastAsia="黑体" w:hAnsi="黑体" w:cs="黑体" w:hint="eastAsia"/>
                <w:bCs/>
                <w:szCs w:val="21"/>
              </w:rPr>
              <w:t>工</w:t>
            </w:r>
          </w:p>
          <w:p w:rsidR="000A4A6F" w:rsidRDefault="00262693">
            <w:pPr>
              <w:rPr>
                <w:rFonts w:ascii="黑体" w:eastAsia="黑体" w:hAnsi="黑体" w:cs="黑体"/>
                <w:bCs/>
                <w:szCs w:val="21"/>
              </w:rPr>
            </w:pPr>
            <w:r>
              <w:rPr>
                <w:rFonts w:ascii="黑体" w:eastAsia="黑体" w:hAnsi="黑体" w:cs="黑体" w:hint="eastAsia"/>
                <w:bCs/>
                <w:szCs w:val="21"/>
              </w:rPr>
              <w:t>作</w:t>
            </w:r>
          </w:p>
        </w:tc>
        <w:tc>
          <w:tcPr>
            <w:tcW w:w="4577" w:type="dxa"/>
            <w:tcBorders>
              <w:top w:val="double" w:sz="4"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询问病史及体格检查</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完成病历书写</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开化验单</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对症</w:t>
            </w:r>
            <w:r>
              <w:rPr>
                <w:rFonts w:asciiTheme="minorEastAsia" w:eastAsiaTheme="minorEastAsia" w:hAnsiTheme="minorEastAsia"/>
                <w:kern w:val="0"/>
                <w:szCs w:val="21"/>
              </w:rPr>
              <w:t>支持治疗</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病情告知，必要时向患者家属告病重或病危通知，并签署病重或病危通知书</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患者家属</w:t>
            </w:r>
            <w:r>
              <w:rPr>
                <w:rFonts w:asciiTheme="minorEastAsia" w:eastAsiaTheme="minorEastAsia" w:hAnsiTheme="minorEastAsia"/>
                <w:color w:val="000000" w:themeColor="text1"/>
                <w:szCs w:val="21"/>
              </w:rPr>
              <w:t>签署</w:t>
            </w:r>
            <w:r>
              <w:rPr>
                <w:rFonts w:asciiTheme="minorEastAsia" w:eastAsiaTheme="minorEastAsia" w:hAnsiTheme="minorEastAsia"/>
                <w:szCs w:val="21"/>
              </w:rPr>
              <w:t>骨穿同意书</w:t>
            </w:r>
          </w:p>
        </w:tc>
        <w:tc>
          <w:tcPr>
            <w:tcW w:w="4045" w:type="dxa"/>
            <w:tcBorders>
              <w:top w:val="double" w:sz="4"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上级医师查房</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完成入院检查</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骨髓穿刺术</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继续</w:t>
            </w:r>
            <w:r>
              <w:rPr>
                <w:rFonts w:asciiTheme="minorEastAsia" w:eastAsiaTheme="minorEastAsia" w:hAnsiTheme="minorEastAsia"/>
                <w:szCs w:val="21"/>
              </w:rPr>
              <w:t>对症</w:t>
            </w:r>
            <w:r>
              <w:rPr>
                <w:rFonts w:asciiTheme="minorEastAsia" w:eastAsiaTheme="minorEastAsia" w:hAnsiTheme="minorEastAsia"/>
                <w:kern w:val="0"/>
                <w:szCs w:val="21"/>
              </w:rPr>
              <w:t>支持治疗</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完成必要的相关科室会诊</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完成上级医师查房记录等病历书写</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kern w:val="0"/>
                <w:szCs w:val="21"/>
              </w:rPr>
              <w:t>向患者及家属交待病情及注意事项</w:t>
            </w:r>
          </w:p>
        </w:tc>
      </w:tr>
      <w:tr w:rsidR="000A4A6F">
        <w:trPr>
          <w:trHeight w:val="4215"/>
          <w:jc w:val="center"/>
        </w:trPr>
        <w:tc>
          <w:tcPr>
            <w:tcW w:w="680"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重</w:t>
            </w:r>
          </w:p>
          <w:p w:rsidR="000A4A6F" w:rsidRDefault="00262693">
            <w:pPr>
              <w:rPr>
                <w:rFonts w:ascii="黑体" w:eastAsia="黑体" w:hAnsi="黑体" w:cs="黑体"/>
                <w:bCs/>
                <w:szCs w:val="21"/>
              </w:rPr>
            </w:pPr>
            <w:r>
              <w:rPr>
                <w:rFonts w:ascii="黑体" w:eastAsia="黑体" w:hAnsi="黑体" w:cs="黑体" w:hint="eastAsia"/>
                <w:bCs/>
                <w:szCs w:val="21"/>
              </w:rPr>
              <w:t>点</w:t>
            </w:r>
          </w:p>
          <w:p w:rsidR="000A4A6F" w:rsidRDefault="00262693">
            <w:pPr>
              <w:rPr>
                <w:rFonts w:ascii="黑体" w:eastAsia="黑体" w:hAnsi="黑体" w:cs="黑体"/>
                <w:bCs/>
                <w:szCs w:val="21"/>
              </w:rPr>
            </w:pPr>
            <w:r>
              <w:rPr>
                <w:rFonts w:ascii="黑体" w:eastAsia="黑体" w:hAnsi="黑体" w:cs="黑体" w:hint="eastAsia"/>
                <w:bCs/>
                <w:szCs w:val="21"/>
              </w:rPr>
              <w:t>医</w:t>
            </w:r>
          </w:p>
          <w:p w:rsidR="000A4A6F" w:rsidRDefault="00262693">
            <w:pPr>
              <w:rPr>
                <w:rFonts w:ascii="黑体" w:eastAsia="黑体" w:hAnsi="黑体" w:cs="黑体"/>
                <w:bCs/>
                <w:szCs w:val="21"/>
              </w:rPr>
            </w:pPr>
            <w:r>
              <w:rPr>
                <w:rFonts w:ascii="黑体" w:eastAsia="黑体" w:hAnsi="黑体" w:cs="黑体" w:hint="eastAsia"/>
                <w:bCs/>
                <w:szCs w:val="21"/>
              </w:rPr>
              <w:t>嘱</w:t>
            </w:r>
          </w:p>
        </w:tc>
        <w:tc>
          <w:tcPr>
            <w:tcW w:w="4577"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b/>
                <w:szCs w:val="21"/>
              </w:rPr>
            </w:pPr>
            <w:r>
              <w:rPr>
                <w:rFonts w:asciiTheme="minorEastAsia" w:eastAsiaTheme="minorEastAsia" w:hAnsiTheme="minorEastAsia"/>
                <w:b/>
                <w:szCs w:val="21"/>
              </w:rPr>
              <w:t>长期医嘱：</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血液病护理常规</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二级护理</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饮食</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视病情通知病重或病危</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其他医嘱</w:t>
            </w:r>
          </w:p>
          <w:p w:rsidR="000A4A6F" w:rsidRDefault="000A4A6F">
            <w:pPr>
              <w:rPr>
                <w:rFonts w:asciiTheme="minorEastAsia" w:eastAsiaTheme="minorEastAsia" w:hAnsiTheme="minorEastAsia"/>
                <w:b/>
                <w:kern w:val="0"/>
                <w:szCs w:val="21"/>
              </w:rPr>
            </w:pPr>
          </w:p>
          <w:p w:rsidR="000A4A6F" w:rsidRDefault="00262693">
            <w:pPr>
              <w:rPr>
                <w:rFonts w:asciiTheme="minorEastAsia" w:eastAsiaTheme="minorEastAsia" w:hAnsiTheme="minorEastAsia"/>
                <w:kern w:val="0"/>
                <w:szCs w:val="21"/>
              </w:rPr>
            </w:pPr>
            <w:r>
              <w:rPr>
                <w:rFonts w:asciiTheme="minorEastAsia" w:eastAsiaTheme="minorEastAsia" w:hAnsiTheme="minorEastAsia"/>
                <w:b/>
                <w:kern w:val="0"/>
                <w:szCs w:val="21"/>
              </w:rPr>
              <w:t>临时医嘱</w:t>
            </w:r>
            <w:r>
              <w:rPr>
                <w:rFonts w:asciiTheme="minorEastAsia" w:eastAsiaTheme="minorEastAsia" w:hAnsiTheme="minorEastAsia"/>
                <w:kern w:val="0"/>
                <w:szCs w:val="21"/>
              </w:rPr>
              <w:t>：</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血常规（含分类）、尿常规、大便常规＋隐血</w:t>
            </w:r>
          </w:p>
          <w:p w:rsidR="000A4A6F" w:rsidRDefault="00262693">
            <w:pPr>
              <w:rPr>
                <w:rFonts w:asciiTheme="minorEastAsia" w:eastAsiaTheme="minorEastAsia" w:hAnsiTheme="minorEastAsia"/>
                <w:color w:val="FF0000"/>
                <w:szCs w:val="21"/>
              </w:rPr>
            </w:pPr>
            <w:r>
              <w:rPr>
                <w:rFonts w:asciiTheme="minorEastAsia" w:eastAsiaTheme="minorEastAsia" w:hAnsiTheme="minorEastAsia"/>
                <w:szCs w:val="21"/>
              </w:rPr>
              <w:t>□ 血型、输血前检查、肝肾功能、电解质、凝血功能、血清铁四项</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胸片、心电图、腹部B超</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头颅CT、血管超声（疑似动、静脉血栓时）</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其他医嘱</w:t>
            </w:r>
          </w:p>
        </w:tc>
        <w:tc>
          <w:tcPr>
            <w:tcW w:w="4045"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b/>
                <w:szCs w:val="21"/>
              </w:rPr>
              <w:t>长期医嘱</w:t>
            </w:r>
            <w:r>
              <w:rPr>
                <w:rFonts w:asciiTheme="minorEastAsia" w:eastAsiaTheme="minorEastAsia" w:hAnsiTheme="minorEastAsia"/>
                <w:szCs w:val="21"/>
              </w:rPr>
              <w:t>：</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患者既往基础用药</w:t>
            </w:r>
          </w:p>
          <w:p w:rsidR="000A4A6F" w:rsidRDefault="00262693">
            <w:pPr>
              <w:rPr>
                <w:rFonts w:asciiTheme="minorEastAsia" w:eastAsiaTheme="minorEastAsia" w:hAnsiTheme="minorEastAsia"/>
                <w:b/>
                <w:kern w:val="0"/>
                <w:szCs w:val="21"/>
              </w:rPr>
            </w:pPr>
            <w:r>
              <w:rPr>
                <w:rFonts w:asciiTheme="minorEastAsia" w:eastAsiaTheme="minorEastAsia" w:hAnsiTheme="minorEastAsia"/>
                <w:szCs w:val="21"/>
              </w:rPr>
              <w:t>□ 其他医嘱</w:t>
            </w:r>
          </w:p>
          <w:p w:rsidR="000A4A6F" w:rsidRDefault="000A4A6F">
            <w:pPr>
              <w:rPr>
                <w:rFonts w:asciiTheme="minorEastAsia" w:eastAsiaTheme="minorEastAsia" w:hAnsiTheme="minorEastAsia"/>
                <w:b/>
                <w:kern w:val="0"/>
                <w:szCs w:val="21"/>
              </w:rPr>
            </w:pPr>
          </w:p>
          <w:p w:rsidR="000A4A6F" w:rsidRDefault="00262693">
            <w:pPr>
              <w:rPr>
                <w:rFonts w:asciiTheme="minorEastAsia" w:eastAsiaTheme="minorEastAsia" w:hAnsiTheme="minorEastAsia"/>
                <w:b/>
                <w:kern w:val="0"/>
                <w:szCs w:val="21"/>
              </w:rPr>
            </w:pPr>
            <w:r>
              <w:rPr>
                <w:rFonts w:asciiTheme="minorEastAsia" w:eastAsiaTheme="minorEastAsia" w:hAnsiTheme="minorEastAsia"/>
                <w:b/>
                <w:kern w:val="0"/>
                <w:szCs w:val="21"/>
              </w:rPr>
              <w:t>临时医嘱：</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血常规</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骨穿及活检术</w:t>
            </w:r>
          </w:p>
          <w:p w:rsidR="000A4A6F" w:rsidRDefault="00262693">
            <w:pPr>
              <w:rPr>
                <w:rFonts w:asciiTheme="minorEastAsia" w:eastAsiaTheme="minorEastAsia" w:hAnsiTheme="minorEastAsia"/>
                <w:color w:val="FF0000"/>
                <w:szCs w:val="21"/>
              </w:rPr>
            </w:pPr>
            <w:r>
              <w:rPr>
                <w:rFonts w:asciiTheme="minorEastAsia" w:eastAsiaTheme="minorEastAsia" w:hAnsiTheme="minorEastAsia"/>
                <w:szCs w:val="21"/>
              </w:rPr>
              <w:t>□ 骨髓形态学、细胞/分子遗传学、骨髓病理（包括嗜银染色）、组化</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其他</w:t>
            </w:r>
            <w:r>
              <w:rPr>
                <w:rFonts w:asciiTheme="minorEastAsia" w:eastAsiaTheme="minorEastAsia" w:hAnsiTheme="minorEastAsia"/>
                <w:kern w:val="0"/>
                <w:szCs w:val="21"/>
              </w:rPr>
              <w:t>医嘱</w:t>
            </w:r>
          </w:p>
        </w:tc>
      </w:tr>
      <w:tr w:rsidR="000A4A6F">
        <w:trPr>
          <w:cantSplit/>
          <w:trHeight w:val="938"/>
          <w:jc w:val="center"/>
        </w:trPr>
        <w:tc>
          <w:tcPr>
            <w:tcW w:w="680"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主要护理</w:t>
            </w:r>
          </w:p>
          <w:p w:rsidR="000A4A6F" w:rsidRDefault="00262693">
            <w:pPr>
              <w:rPr>
                <w:rFonts w:ascii="黑体" w:eastAsia="黑体" w:hAnsi="黑体" w:cs="黑体"/>
                <w:bCs/>
                <w:szCs w:val="21"/>
              </w:rPr>
            </w:pPr>
            <w:r>
              <w:rPr>
                <w:rFonts w:ascii="黑体" w:eastAsia="黑体" w:hAnsi="黑体" w:cs="黑体" w:hint="eastAsia"/>
                <w:bCs/>
                <w:szCs w:val="21"/>
              </w:rPr>
              <w:t>工作</w:t>
            </w:r>
          </w:p>
        </w:tc>
        <w:tc>
          <w:tcPr>
            <w:tcW w:w="4577"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介绍病房环境、设施和设备</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入院护理评估</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宣教</w:t>
            </w:r>
          </w:p>
          <w:p w:rsidR="000A4A6F" w:rsidRDefault="000A4A6F">
            <w:pPr>
              <w:rPr>
                <w:rFonts w:asciiTheme="minorEastAsia" w:eastAsiaTheme="minorEastAsia" w:hAnsiTheme="minorEastAsia"/>
                <w:szCs w:val="21"/>
              </w:rPr>
            </w:pPr>
          </w:p>
        </w:tc>
        <w:tc>
          <w:tcPr>
            <w:tcW w:w="4045"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观察患者病情变化</w:t>
            </w:r>
          </w:p>
        </w:tc>
      </w:tr>
      <w:tr w:rsidR="000A4A6F">
        <w:trPr>
          <w:jc w:val="center"/>
        </w:trPr>
        <w:tc>
          <w:tcPr>
            <w:tcW w:w="680"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病情变异</w:t>
            </w:r>
          </w:p>
          <w:p w:rsidR="000A4A6F" w:rsidRDefault="00262693">
            <w:pPr>
              <w:rPr>
                <w:rFonts w:ascii="黑体" w:eastAsia="黑体" w:hAnsi="黑体" w:cs="黑体"/>
                <w:bCs/>
                <w:szCs w:val="21"/>
              </w:rPr>
            </w:pPr>
            <w:r>
              <w:rPr>
                <w:rFonts w:ascii="黑体" w:eastAsia="黑体" w:hAnsi="黑体" w:cs="黑体" w:hint="eastAsia"/>
                <w:bCs/>
                <w:szCs w:val="21"/>
              </w:rPr>
              <w:t>记录</w:t>
            </w:r>
          </w:p>
        </w:tc>
        <w:tc>
          <w:tcPr>
            <w:tcW w:w="4577"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□无  □有，原因：</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1.</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2.</w:t>
            </w:r>
          </w:p>
        </w:tc>
        <w:tc>
          <w:tcPr>
            <w:tcW w:w="4045"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□无  □有，原因：</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1.</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2.</w:t>
            </w:r>
          </w:p>
        </w:tc>
      </w:tr>
      <w:tr w:rsidR="000A4A6F">
        <w:trPr>
          <w:trHeight w:val="640"/>
          <w:jc w:val="center"/>
        </w:trPr>
        <w:tc>
          <w:tcPr>
            <w:tcW w:w="680"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护士</w:t>
            </w:r>
          </w:p>
          <w:p w:rsidR="000A4A6F" w:rsidRDefault="00262693">
            <w:pPr>
              <w:rPr>
                <w:rFonts w:ascii="黑体" w:eastAsia="黑体" w:hAnsi="黑体" w:cs="黑体"/>
                <w:bCs/>
                <w:szCs w:val="21"/>
              </w:rPr>
            </w:pPr>
            <w:r>
              <w:rPr>
                <w:rFonts w:ascii="黑体" w:eastAsia="黑体" w:hAnsi="黑体" w:cs="黑体" w:hint="eastAsia"/>
                <w:bCs/>
                <w:szCs w:val="21"/>
              </w:rPr>
              <w:t>签名</w:t>
            </w:r>
          </w:p>
        </w:tc>
        <w:tc>
          <w:tcPr>
            <w:tcW w:w="4577" w:type="dxa"/>
            <w:tcBorders>
              <w:top w:val="single" w:sz="8" w:space="0" w:color="auto"/>
              <w:left w:val="single" w:sz="8" w:space="0" w:color="auto"/>
              <w:bottom w:val="single" w:sz="8" w:space="0" w:color="auto"/>
              <w:right w:val="single" w:sz="8" w:space="0" w:color="auto"/>
            </w:tcBorders>
          </w:tcPr>
          <w:p w:rsidR="000A4A6F" w:rsidRDefault="000A4A6F">
            <w:pPr>
              <w:rPr>
                <w:rFonts w:asciiTheme="minorEastAsia" w:eastAsiaTheme="minorEastAsia" w:hAnsiTheme="minorEastAsia"/>
                <w:szCs w:val="21"/>
              </w:rPr>
            </w:pPr>
          </w:p>
        </w:tc>
        <w:tc>
          <w:tcPr>
            <w:tcW w:w="4045" w:type="dxa"/>
            <w:tcBorders>
              <w:top w:val="single" w:sz="8" w:space="0" w:color="auto"/>
              <w:left w:val="single" w:sz="8" w:space="0" w:color="auto"/>
              <w:bottom w:val="single" w:sz="8" w:space="0" w:color="auto"/>
              <w:right w:val="single" w:sz="8" w:space="0" w:color="auto"/>
            </w:tcBorders>
          </w:tcPr>
          <w:p w:rsidR="000A4A6F" w:rsidRDefault="000A4A6F">
            <w:pPr>
              <w:rPr>
                <w:rFonts w:asciiTheme="minorEastAsia" w:eastAsiaTheme="minorEastAsia" w:hAnsiTheme="minorEastAsia"/>
                <w:szCs w:val="21"/>
              </w:rPr>
            </w:pPr>
          </w:p>
        </w:tc>
      </w:tr>
      <w:tr w:rsidR="000A4A6F">
        <w:trPr>
          <w:trHeight w:val="645"/>
          <w:jc w:val="center"/>
        </w:trPr>
        <w:tc>
          <w:tcPr>
            <w:tcW w:w="680"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医师</w:t>
            </w:r>
          </w:p>
          <w:p w:rsidR="000A4A6F" w:rsidRDefault="00262693">
            <w:pPr>
              <w:rPr>
                <w:rFonts w:ascii="黑体" w:eastAsia="黑体" w:hAnsi="黑体" w:cs="黑体"/>
                <w:bCs/>
                <w:szCs w:val="21"/>
              </w:rPr>
            </w:pPr>
            <w:r>
              <w:rPr>
                <w:rFonts w:ascii="黑体" w:eastAsia="黑体" w:hAnsi="黑体" w:cs="黑体" w:hint="eastAsia"/>
                <w:bCs/>
                <w:szCs w:val="21"/>
              </w:rPr>
              <w:t>签名</w:t>
            </w:r>
          </w:p>
        </w:tc>
        <w:tc>
          <w:tcPr>
            <w:tcW w:w="4577" w:type="dxa"/>
            <w:tcBorders>
              <w:top w:val="single" w:sz="8" w:space="0" w:color="auto"/>
              <w:left w:val="single" w:sz="8" w:space="0" w:color="auto"/>
              <w:bottom w:val="single" w:sz="8" w:space="0" w:color="auto"/>
              <w:right w:val="single" w:sz="8" w:space="0" w:color="auto"/>
            </w:tcBorders>
          </w:tcPr>
          <w:p w:rsidR="000A4A6F" w:rsidRDefault="000A4A6F">
            <w:pPr>
              <w:rPr>
                <w:rFonts w:asciiTheme="minorEastAsia" w:eastAsiaTheme="minorEastAsia" w:hAnsiTheme="minorEastAsia"/>
                <w:szCs w:val="21"/>
              </w:rPr>
            </w:pPr>
          </w:p>
        </w:tc>
        <w:tc>
          <w:tcPr>
            <w:tcW w:w="4045" w:type="dxa"/>
            <w:tcBorders>
              <w:top w:val="single" w:sz="8" w:space="0" w:color="auto"/>
              <w:left w:val="single" w:sz="8" w:space="0" w:color="auto"/>
              <w:bottom w:val="single" w:sz="8" w:space="0" w:color="auto"/>
              <w:right w:val="single" w:sz="8" w:space="0" w:color="auto"/>
            </w:tcBorders>
          </w:tcPr>
          <w:p w:rsidR="000A4A6F" w:rsidRDefault="000A4A6F">
            <w:pPr>
              <w:rPr>
                <w:rFonts w:asciiTheme="minorEastAsia" w:eastAsiaTheme="minorEastAsia" w:hAnsiTheme="minorEastAsia"/>
                <w:szCs w:val="21"/>
              </w:rPr>
            </w:pPr>
          </w:p>
        </w:tc>
      </w:tr>
    </w:tbl>
    <w:p w:rsidR="000A4A6F" w:rsidRDefault="000A4A6F">
      <w:pPr>
        <w:rPr>
          <w:rFonts w:eastAsia="仿宋"/>
          <w:szCs w:val="21"/>
        </w:rPr>
      </w:pPr>
    </w:p>
    <w:p w:rsidR="000A4A6F" w:rsidRDefault="000A4A6F">
      <w:pPr>
        <w:rPr>
          <w:rFonts w:eastAsia="仿宋"/>
          <w:szCs w:val="21"/>
        </w:rPr>
      </w:pPr>
    </w:p>
    <w:p w:rsidR="00BC7B55" w:rsidRDefault="00BC7B55">
      <w:pPr>
        <w:rPr>
          <w:rFonts w:eastAsia="仿宋"/>
          <w:szCs w:val="21"/>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0"/>
        <w:gridCol w:w="4248"/>
      </w:tblGrid>
      <w:tr w:rsidR="000A4A6F">
        <w:trPr>
          <w:cantSplit/>
          <w:trHeight w:val="523"/>
          <w:jc w:val="center"/>
        </w:trPr>
        <w:tc>
          <w:tcPr>
            <w:tcW w:w="682" w:type="dxa"/>
            <w:tcBorders>
              <w:top w:val="double" w:sz="4" w:space="0" w:color="auto"/>
              <w:left w:val="double" w:sz="4" w:space="0" w:color="auto"/>
              <w:bottom w:val="double" w:sz="4" w:space="0" w:color="auto"/>
              <w:right w:val="double" w:sz="4"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时间</w:t>
            </w:r>
          </w:p>
        </w:tc>
        <w:tc>
          <w:tcPr>
            <w:tcW w:w="4320" w:type="dxa"/>
            <w:tcBorders>
              <w:top w:val="double" w:sz="4" w:space="0" w:color="auto"/>
              <w:left w:val="double" w:sz="4" w:space="0" w:color="auto"/>
              <w:bottom w:val="double" w:sz="4" w:space="0" w:color="auto"/>
              <w:right w:val="double" w:sz="4"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住院第3–9天</w:t>
            </w:r>
          </w:p>
        </w:tc>
        <w:tc>
          <w:tcPr>
            <w:tcW w:w="4248" w:type="dxa"/>
            <w:tcBorders>
              <w:top w:val="double" w:sz="4" w:space="0" w:color="auto"/>
              <w:left w:val="double" w:sz="4" w:space="0" w:color="auto"/>
              <w:bottom w:val="double" w:sz="4" w:space="0" w:color="auto"/>
              <w:right w:val="double" w:sz="4"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住院第10天</w:t>
            </w:r>
          </w:p>
          <w:p w:rsidR="000A4A6F" w:rsidRDefault="00262693">
            <w:pPr>
              <w:rPr>
                <w:rFonts w:ascii="黑体" w:eastAsia="黑体" w:hAnsi="黑体" w:cs="黑体"/>
                <w:bCs/>
                <w:szCs w:val="21"/>
              </w:rPr>
            </w:pPr>
            <w:r>
              <w:rPr>
                <w:rFonts w:ascii="黑体" w:eastAsia="黑体" w:hAnsi="黑体" w:cs="黑体" w:hint="eastAsia"/>
                <w:bCs/>
                <w:szCs w:val="21"/>
              </w:rPr>
              <w:t>（出院日）</w:t>
            </w:r>
          </w:p>
        </w:tc>
      </w:tr>
      <w:tr w:rsidR="000A4A6F">
        <w:trPr>
          <w:cantSplit/>
          <w:trHeight w:val="625"/>
          <w:jc w:val="center"/>
        </w:trPr>
        <w:tc>
          <w:tcPr>
            <w:tcW w:w="682" w:type="dxa"/>
            <w:tcBorders>
              <w:top w:val="double" w:sz="4"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lastRenderedPageBreak/>
              <w:t>主</w:t>
            </w:r>
          </w:p>
          <w:p w:rsidR="000A4A6F" w:rsidRDefault="00262693">
            <w:pPr>
              <w:rPr>
                <w:rFonts w:ascii="黑体" w:eastAsia="黑体" w:hAnsi="黑体" w:cs="黑体"/>
                <w:bCs/>
                <w:szCs w:val="21"/>
              </w:rPr>
            </w:pPr>
            <w:r>
              <w:rPr>
                <w:rFonts w:ascii="黑体" w:eastAsia="黑体" w:hAnsi="黑体" w:cs="黑体" w:hint="eastAsia"/>
                <w:bCs/>
                <w:szCs w:val="21"/>
              </w:rPr>
              <w:t>要</w:t>
            </w:r>
          </w:p>
          <w:p w:rsidR="000A4A6F" w:rsidRDefault="00262693">
            <w:pPr>
              <w:rPr>
                <w:rFonts w:ascii="黑体" w:eastAsia="黑体" w:hAnsi="黑体" w:cs="黑体"/>
                <w:bCs/>
                <w:szCs w:val="21"/>
              </w:rPr>
            </w:pPr>
            <w:r>
              <w:rPr>
                <w:rFonts w:ascii="黑体" w:eastAsia="黑体" w:hAnsi="黑体" w:cs="黑体" w:hint="eastAsia"/>
                <w:bCs/>
                <w:szCs w:val="21"/>
              </w:rPr>
              <w:t>诊</w:t>
            </w:r>
          </w:p>
          <w:p w:rsidR="000A4A6F" w:rsidRDefault="00262693">
            <w:pPr>
              <w:rPr>
                <w:rFonts w:ascii="黑体" w:eastAsia="黑体" w:hAnsi="黑体" w:cs="黑体"/>
                <w:bCs/>
                <w:szCs w:val="21"/>
              </w:rPr>
            </w:pPr>
            <w:r>
              <w:rPr>
                <w:rFonts w:ascii="黑体" w:eastAsia="黑体" w:hAnsi="黑体" w:cs="黑体" w:hint="eastAsia"/>
                <w:bCs/>
                <w:szCs w:val="21"/>
              </w:rPr>
              <w:t>疗</w:t>
            </w:r>
          </w:p>
          <w:p w:rsidR="000A4A6F" w:rsidRDefault="00262693">
            <w:pPr>
              <w:rPr>
                <w:rFonts w:ascii="黑体" w:eastAsia="黑体" w:hAnsi="黑体" w:cs="黑体"/>
                <w:bCs/>
                <w:szCs w:val="21"/>
              </w:rPr>
            </w:pPr>
            <w:r>
              <w:rPr>
                <w:rFonts w:ascii="黑体" w:eastAsia="黑体" w:hAnsi="黑体" w:cs="黑体" w:hint="eastAsia"/>
                <w:bCs/>
                <w:szCs w:val="21"/>
              </w:rPr>
              <w:t>工</w:t>
            </w:r>
          </w:p>
          <w:p w:rsidR="000A4A6F" w:rsidRDefault="00262693">
            <w:pPr>
              <w:rPr>
                <w:rFonts w:ascii="黑体" w:eastAsia="黑体" w:hAnsi="黑体" w:cs="黑体"/>
                <w:bCs/>
                <w:szCs w:val="21"/>
              </w:rPr>
            </w:pPr>
            <w:r>
              <w:rPr>
                <w:rFonts w:ascii="黑体" w:eastAsia="黑体" w:hAnsi="黑体" w:cs="黑体" w:hint="eastAsia"/>
                <w:bCs/>
                <w:szCs w:val="21"/>
              </w:rPr>
              <w:t>作</w:t>
            </w:r>
          </w:p>
          <w:p w:rsidR="000A4A6F" w:rsidRDefault="000A4A6F">
            <w:pPr>
              <w:rPr>
                <w:rFonts w:ascii="黑体" w:eastAsia="黑体" w:hAnsi="黑体" w:cs="黑体"/>
                <w:bCs/>
                <w:szCs w:val="21"/>
              </w:rPr>
            </w:pPr>
          </w:p>
        </w:tc>
        <w:tc>
          <w:tcPr>
            <w:tcW w:w="4320" w:type="dxa"/>
            <w:tcBorders>
              <w:top w:val="double" w:sz="4"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上级医师查房</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复查血常规</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根据体检、骨髓检查结果和既往资料，进行鉴别诊断和确定诊断</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根据其他检查结果进行鉴别诊断，判断是否合并其他疾病</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开始治疗</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保护重要脏器功能</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注意观察药物的副作用，并对症处理</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完成病程记录</w:t>
            </w:r>
          </w:p>
          <w:p w:rsidR="000A4A6F" w:rsidRDefault="000A4A6F">
            <w:pPr>
              <w:rPr>
                <w:rFonts w:asciiTheme="minorEastAsia" w:eastAsiaTheme="minorEastAsia" w:hAnsiTheme="minorEastAsia"/>
                <w:szCs w:val="21"/>
              </w:rPr>
            </w:pPr>
          </w:p>
        </w:tc>
        <w:tc>
          <w:tcPr>
            <w:tcW w:w="4248" w:type="dxa"/>
            <w:tcBorders>
              <w:top w:val="double" w:sz="4"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上级医师查房，进行评估，确定有无并发症情况，明确是否出院</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完成出院记录、病案首页、出院证明书等</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向患者交代出院后的注意事项，如：返院复诊的时间、地点，发生紧急情况时的处理等</w:t>
            </w:r>
          </w:p>
        </w:tc>
      </w:tr>
      <w:tr w:rsidR="000A4A6F">
        <w:trPr>
          <w:cantSplit/>
          <w:trHeight w:val="625"/>
          <w:jc w:val="center"/>
        </w:trPr>
        <w:tc>
          <w:tcPr>
            <w:tcW w:w="682"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重</w:t>
            </w:r>
          </w:p>
          <w:p w:rsidR="000A4A6F" w:rsidRDefault="00262693">
            <w:pPr>
              <w:rPr>
                <w:rFonts w:ascii="黑体" w:eastAsia="黑体" w:hAnsi="黑体" w:cs="黑体"/>
                <w:bCs/>
                <w:szCs w:val="21"/>
              </w:rPr>
            </w:pPr>
            <w:r>
              <w:rPr>
                <w:rFonts w:ascii="黑体" w:eastAsia="黑体" w:hAnsi="黑体" w:cs="黑体" w:hint="eastAsia"/>
                <w:bCs/>
                <w:szCs w:val="21"/>
              </w:rPr>
              <w:t>点</w:t>
            </w:r>
          </w:p>
          <w:p w:rsidR="000A4A6F" w:rsidRDefault="00262693">
            <w:pPr>
              <w:rPr>
                <w:rFonts w:ascii="黑体" w:eastAsia="黑体" w:hAnsi="黑体" w:cs="黑体"/>
                <w:bCs/>
                <w:szCs w:val="21"/>
              </w:rPr>
            </w:pPr>
            <w:r>
              <w:rPr>
                <w:rFonts w:ascii="黑体" w:eastAsia="黑体" w:hAnsi="黑体" w:cs="黑体" w:hint="eastAsia"/>
                <w:bCs/>
                <w:szCs w:val="21"/>
              </w:rPr>
              <w:t>医</w:t>
            </w:r>
          </w:p>
          <w:p w:rsidR="000A4A6F" w:rsidRDefault="00262693">
            <w:pPr>
              <w:rPr>
                <w:rFonts w:ascii="黑体" w:eastAsia="黑体" w:hAnsi="黑体" w:cs="黑体"/>
                <w:bCs/>
                <w:szCs w:val="21"/>
              </w:rPr>
            </w:pPr>
            <w:r>
              <w:rPr>
                <w:rFonts w:ascii="黑体" w:eastAsia="黑体" w:hAnsi="黑体" w:cs="黑体" w:hint="eastAsia"/>
                <w:bCs/>
                <w:szCs w:val="21"/>
              </w:rPr>
              <w:t>嘱</w:t>
            </w:r>
          </w:p>
          <w:p w:rsidR="000A4A6F" w:rsidRDefault="000A4A6F">
            <w:pPr>
              <w:rPr>
                <w:rFonts w:ascii="黑体" w:eastAsia="黑体" w:hAnsi="黑体" w:cs="黑体"/>
                <w:bCs/>
                <w:szCs w:val="21"/>
              </w:rPr>
            </w:pPr>
          </w:p>
        </w:tc>
        <w:tc>
          <w:tcPr>
            <w:tcW w:w="4320"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b/>
                <w:szCs w:val="21"/>
              </w:rPr>
            </w:pPr>
            <w:r>
              <w:rPr>
                <w:rFonts w:asciiTheme="minorEastAsia" w:eastAsiaTheme="minorEastAsia" w:hAnsiTheme="minorEastAsia"/>
                <w:b/>
                <w:szCs w:val="21"/>
              </w:rPr>
              <w:t>长期医嘱（视情况可第二天起开始治疗）：根据血小板水平调整</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羟基脲</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干扰素</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阿司匹林</w:t>
            </w:r>
          </w:p>
          <w:p w:rsidR="000A4A6F" w:rsidRDefault="00262693">
            <w:pPr>
              <w:spacing w:line="360" w:lineRule="auto"/>
              <w:rPr>
                <w:rFonts w:asciiTheme="minorEastAsia" w:eastAsiaTheme="minorEastAsia" w:hAnsiTheme="minorEastAsia"/>
                <w:szCs w:val="21"/>
              </w:rPr>
            </w:pPr>
            <w:r>
              <w:rPr>
                <w:rFonts w:asciiTheme="minorEastAsia" w:eastAsiaTheme="minorEastAsia" w:hAnsiTheme="minorEastAsia"/>
                <w:szCs w:val="21"/>
              </w:rPr>
              <w:t>□ 阿那格雷</w:t>
            </w:r>
          </w:p>
          <w:p w:rsidR="000A4A6F" w:rsidRDefault="00262693">
            <w:pPr>
              <w:rPr>
                <w:rFonts w:asciiTheme="minorEastAsia" w:eastAsiaTheme="minorEastAsia" w:hAnsiTheme="minorEastAsia"/>
                <w:b/>
                <w:szCs w:val="21"/>
              </w:rPr>
            </w:pPr>
            <w:r>
              <w:rPr>
                <w:rFonts w:asciiTheme="minorEastAsia" w:eastAsiaTheme="minorEastAsia" w:hAnsiTheme="minorEastAsia"/>
                <w:szCs w:val="21"/>
              </w:rPr>
              <w:t>□ 其他医嘱</w:t>
            </w:r>
          </w:p>
          <w:p w:rsidR="000A4A6F" w:rsidRDefault="000A4A6F">
            <w:pPr>
              <w:rPr>
                <w:rFonts w:asciiTheme="minorEastAsia" w:eastAsiaTheme="minorEastAsia" w:hAnsiTheme="minorEastAsia"/>
                <w:b/>
                <w:szCs w:val="21"/>
              </w:rPr>
            </w:pPr>
          </w:p>
          <w:p w:rsidR="000A4A6F" w:rsidRDefault="00262693">
            <w:pPr>
              <w:rPr>
                <w:rFonts w:asciiTheme="minorEastAsia" w:eastAsiaTheme="minorEastAsia" w:hAnsiTheme="minorEastAsia"/>
                <w:b/>
                <w:szCs w:val="21"/>
              </w:rPr>
            </w:pPr>
            <w:r>
              <w:rPr>
                <w:rFonts w:asciiTheme="minorEastAsia" w:eastAsiaTheme="minorEastAsia" w:hAnsiTheme="minorEastAsia"/>
                <w:b/>
                <w:szCs w:val="21"/>
              </w:rPr>
              <w:t>临时医嘱：</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复查血常规</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复查血生化、电解质</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对症支持</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其他医嘱</w:t>
            </w:r>
          </w:p>
          <w:p w:rsidR="000A4A6F" w:rsidRDefault="000A4A6F">
            <w:pPr>
              <w:rPr>
                <w:rFonts w:asciiTheme="minorEastAsia" w:eastAsiaTheme="minorEastAsia" w:hAnsiTheme="minorEastAsia"/>
                <w:kern w:val="0"/>
                <w:szCs w:val="21"/>
              </w:rPr>
            </w:pPr>
          </w:p>
        </w:tc>
        <w:tc>
          <w:tcPr>
            <w:tcW w:w="4248"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b/>
                <w:szCs w:val="21"/>
              </w:rPr>
            </w:pPr>
            <w:r>
              <w:rPr>
                <w:rFonts w:asciiTheme="minorEastAsia" w:eastAsiaTheme="minorEastAsia" w:hAnsiTheme="minorEastAsia"/>
                <w:b/>
                <w:szCs w:val="21"/>
              </w:rPr>
              <w:t>出院医嘱：</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出院带药</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 定期门诊随访</w:t>
            </w:r>
          </w:p>
          <w:p w:rsidR="000A4A6F" w:rsidRDefault="00262693">
            <w:pPr>
              <w:rPr>
                <w:rFonts w:asciiTheme="minorEastAsia" w:eastAsiaTheme="minorEastAsia" w:hAnsiTheme="minorEastAsia"/>
                <w:kern w:val="0"/>
                <w:szCs w:val="21"/>
              </w:rPr>
            </w:pPr>
            <w:r>
              <w:rPr>
                <w:rFonts w:asciiTheme="minorEastAsia" w:eastAsiaTheme="minorEastAsia" w:hAnsiTheme="minorEastAsia"/>
                <w:szCs w:val="21"/>
              </w:rPr>
              <w:t>□ 监</w:t>
            </w:r>
            <w:r>
              <w:rPr>
                <w:rFonts w:asciiTheme="minorEastAsia" w:eastAsiaTheme="minorEastAsia" w:hAnsiTheme="minorEastAsia"/>
                <w:kern w:val="0"/>
                <w:szCs w:val="21"/>
              </w:rPr>
              <w:t>测血常规</w:t>
            </w:r>
          </w:p>
          <w:p w:rsidR="000A4A6F" w:rsidRDefault="000A4A6F">
            <w:pPr>
              <w:rPr>
                <w:rFonts w:asciiTheme="minorEastAsia" w:eastAsiaTheme="minorEastAsia" w:hAnsiTheme="minorEastAsia"/>
                <w:szCs w:val="21"/>
              </w:rPr>
            </w:pPr>
          </w:p>
        </w:tc>
      </w:tr>
      <w:tr w:rsidR="000A4A6F">
        <w:trPr>
          <w:cantSplit/>
          <w:trHeight w:val="625"/>
          <w:jc w:val="center"/>
        </w:trPr>
        <w:tc>
          <w:tcPr>
            <w:tcW w:w="682"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主要护理</w:t>
            </w:r>
          </w:p>
          <w:p w:rsidR="000A4A6F" w:rsidRDefault="00262693">
            <w:pPr>
              <w:rPr>
                <w:rFonts w:ascii="黑体" w:eastAsia="黑体" w:hAnsi="黑体" w:cs="黑体"/>
                <w:bCs/>
                <w:szCs w:val="21"/>
              </w:rPr>
            </w:pPr>
            <w:r>
              <w:rPr>
                <w:rFonts w:ascii="黑体" w:eastAsia="黑体" w:hAnsi="黑体" w:cs="黑体" w:hint="eastAsia"/>
                <w:bCs/>
                <w:szCs w:val="21"/>
              </w:rPr>
              <w:t>工作</w:t>
            </w:r>
          </w:p>
        </w:tc>
        <w:tc>
          <w:tcPr>
            <w:tcW w:w="4320"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观察患者病情变化</w:t>
            </w:r>
          </w:p>
        </w:tc>
        <w:tc>
          <w:tcPr>
            <w:tcW w:w="4248"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 指导患者办理出院手续</w:t>
            </w:r>
          </w:p>
        </w:tc>
      </w:tr>
      <w:tr w:rsidR="000A4A6F">
        <w:trPr>
          <w:cantSplit/>
          <w:trHeight w:val="340"/>
          <w:jc w:val="center"/>
        </w:trPr>
        <w:tc>
          <w:tcPr>
            <w:tcW w:w="682"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病情</w:t>
            </w:r>
          </w:p>
          <w:p w:rsidR="000A4A6F" w:rsidRDefault="00262693">
            <w:pPr>
              <w:rPr>
                <w:rFonts w:ascii="黑体" w:eastAsia="黑体" w:hAnsi="黑体" w:cs="黑体"/>
                <w:bCs/>
                <w:szCs w:val="21"/>
              </w:rPr>
            </w:pPr>
            <w:r>
              <w:rPr>
                <w:rFonts w:ascii="黑体" w:eastAsia="黑体" w:hAnsi="黑体" w:cs="黑体" w:hint="eastAsia"/>
                <w:bCs/>
                <w:szCs w:val="21"/>
              </w:rPr>
              <w:t>变异</w:t>
            </w:r>
          </w:p>
          <w:p w:rsidR="000A4A6F" w:rsidRDefault="00262693">
            <w:pPr>
              <w:rPr>
                <w:rFonts w:ascii="黑体" w:eastAsia="黑体" w:hAnsi="黑体" w:cs="黑体"/>
                <w:bCs/>
                <w:szCs w:val="21"/>
              </w:rPr>
            </w:pPr>
            <w:r>
              <w:rPr>
                <w:rFonts w:ascii="黑体" w:eastAsia="黑体" w:hAnsi="黑体" w:cs="黑体" w:hint="eastAsia"/>
                <w:bCs/>
                <w:szCs w:val="21"/>
              </w:rPr>
              <w:t>记录</w:t>
            </w:r>
          </w:p>
        </w:tc>
        <w:tc>
          <w:tcPr>
            <w:tcW w:w="4320"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□无  □有，原因：</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1.</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2.</w:t>
            </w:r>
          </w:p>
        </w:tc>
        <w:tc>
          <w:tcPr>
            <w:tcW w:w="4248" w:type="dxa"/>
            <w:tcBorders>
              <w:top w:val="single" w:sz="8" w:space="0" w:color="auto"/>
              <w:left w:val="single" w:sz="8" w:space="0" w:color="auto"/>
              <w:bottom w:val="single" w:sz="8" w:space="0" w:color="auto"/>
              <w:right w:val="single" w:sz="8" w:space="0" w:color="auto"/>
            </w:tcBorders>
          </w:tcPr>
          <w:p w:rsidR="000A4A6F" w:rsidRDefault="00262693">
            <w:pPr>
              <w:rPr>
                <w:rFonts w:asciiTheme="minorEastAsia" w:eastAsiaTheme="minorEastAsia" w:hAnsiTheme="minorEastAsia"/>
                <w:szCs w:val="21"/>
              </w:rPr>
            </w:pPr>
            <w:r>
              <w:rPr>
                <w:rFonts w:asciiTheme="minorEastAsia" w:eastAsiaTheme="minorEastAsia" w:hAnsiTheme="minorEastAsia"/>
                <w:szCs w:val="21"/>
              </w:rPr>
              <w:t>□无  □有，原因：</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1.</w:t>
            </w:r>
          </w:p>
          <w:p w:rsidR="000A4A6F" w:rsidRDefault="00262693">
            <w:pPr>
              <w:rPr>
                <w:rFonts w:asciiTheme="minorEastAsia" w:eastAsiaTheme="minorEastAsia" w:hAnsiTheme="minorEastAsia"/>
                <w:szCs w:val="21"/>
              </w:rPr>
            </w:pPr>
            <w:r>
              <w:rPr>
                <w:rFonts w:asciiTheme="minorEastAsia" w:eastAsiaTheme="minorEastAsia" w:hAnsiTheme="minorEastAsia"/>
                <w:szCs w:val="21"/>
              </w:rPr>
              <w:t>2.</w:t>
            </w:r>
          </w:p>
        </w:tc>
      </w:tr>
      <w:tr w:rsidR="000A4A6F">
        <w:trPr>
          <w:trHeight w:val="640"/>
          <w:jc w:val="center"/>
        </w:trPr>
        <w:tc>
          <w:tcPr>
            <w:tcW w:w="682"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护士</w:t>
            </w:r>
          </w:p>
          <w:p w:rsidR="000A4A6F" w:rsidRDefault="00262693">
            <w:pPr>
              <w:rPr>
                <w:rFonts w:ascii="黑体" w:eastAsia="黑体" w:hAnsi="黑体" w:cs="黑体"/>
                <w:bCs/>
                <w:szCs w:val="21"/>
              </w:rPr>
            </w:pPr>
            <w:r>
              <w:rPr>
                <w:rFonts w:ascii="黑体" w:eastAsia="黑体" w:hAnsi="黑体" w:cs="黑体" w:hint="eastAsia"/>
                <w:bCs/>
                <w:szCs w:val="21"/>
              </w:rPr>
              <w:t>签名</w:t>
            </w:r>
          </w:p>
        </w:tc>
        <w:tc>
          <w:tcPr>
            <w:tcW w:w="4320" w:type="dxa"/>
            <w:tcBorders>
              <w:top w:val="single" w:sz="8" w:space="0" w:color="auto"/>
              <w:left w:val="single" w:sz="8" w:space="0" w:color="auto"/>
              <w:bottom w:val="single" w:sz="8" w:space="0" w:color="auto"/>
              <w:right w:val="single" w:sz="8" w:space="0" w:color="auto"/>
            </w:tcBorders>
            <w:vAlign w:val="center"/>
          </w:tcPr>
          <w:p w:rsidR="000A4A6F" w:rsidRDefault="000A4A6F">
            <w:pPr>
              <w:rPr>
                <w:rFonts w:asciiTheme="minorEastAsia" w:eastAsiaTheme="minorEastAsia" w:hAnsiTheme="minorEastAsia"/>
                <w:szCs w:val="21"/>
              </w:rPr>
            </w:pPr>
          </w:p>
        </w:tc>
        <w:tc>
          <w:tcPr>
            <w:tcW w:w="4248" w:type="dxa"/>
            <w:tcBorders>
              <w:top w:val="single" w:sz="8" w:space="0" w:color="auto"/>
              <w:left w:val="single" w:sz="8" w:space="0" w:color="auto"/>
              <w:bottom w:val="single" w:sz="8" w:space="0" w:color="auto"/>
              <w:right w:val="single" w:sz="8" w:space="0" w:color="auto"/>
            </w:tcBorders>
            <w:shd w:val="clear" w:color="auto" w:fill="auto"/>
            <w:vAlign w:val="center"/>
          </w:tcPr>
          <w:p w:rsidR="000A4A6F" w:rsidRDefault="000A4A6F">
            <w:pPr>
              <w:rPr>
                <w:rFonts w:asciiTheme="minorEastAsia" w:eastAsiaTheme="minorEastAsia" w:hAnsiTheme="minorEastAsia"/>
                <w:szCs w:val="21"/>
              </w:rPr>
            </w:pPr>
          </w:p>
        </w:tc>
      </w:tr>
      <w:tr w:rsidR="000A4A6F">
        <w:trPr>
          <w:trHeight w:val="645"/>
          <w:jc w:val="center"/>
        </w:trPr>
        <w:tc>
          <w:tcPr>
            <w:tcW w:w="682" w:type="dxa"/>
            <w:tcBorders>
              <w:top w:val="single" w:sz="8" w:space="0" w:color="auto"/>
              <w:left w:val="single" w:sz="8" w:space="0" w:color="auto"/>
              <w:bottom w:val="single" w:sz="8" w:space="0" w:color="auto"/>
              <w:right w:val="single" w:sz="8" w:space="0" w:color="auto"/>
            </w:tcBorders>
            <w:vAlign w:val="center"/>
          </w:tcPr>
          <w:p w:rsidR="000A4A6F" w:rsidRDefault="00262693">
            <w:pPr>
              <w:rPr>
                <w:rFonts w:ascii="黑体" w:eastAsia="黑体" w:hAnsi="黑体" w:cs="黑体"/>
                <w:bCs/>
                <w:szCs w:val="21"/>
              </w:rPr>
            </w:pPr>
            <w:r>
              <w:rPr>
                <w:rFonts w:ascii="黑体" w:eastAsia="黑体" w:hAnsi="黑体" w:cs="黑体" w:hint="eastAsia"/>
                <w:bCs/>
                <w:szCs w:val="21"/>
              </w:rPr>
              <w:t>医师</w:t>
            </w:r>
          </w:p>
          <w:p w:rsidR="000A4A6F" w:rsidRDefault="00262693">
            <w:pPr>
              <w:rPr>
                <w:rFonts w:ascii="黑体" w:eastAsia="黑体" w:hAnsi="黑体" w:cs="黑体"/>
                <w:bCs/>
                <w:szCs w:val="21"/>
              </w:rPr>
            </w:pPr>
            <w:r>
              <w:rPr>
                <w:rFonts w:ascii="黑体" w:eastAsia="黑体" w:hAnsi="黑体" w:cs="黑体" w:hint="eastAsia"/>
                <w:bCs/>
                <w:szCs w:val="21"/>
              </w:rPr>
              <w:t>签名</w:t>
            </w:r>
          </w:p>
        </w:tc>
        <w:tc>
          <w:tcPr>
            <w:tcW w:w="4320" w:type="dxa"/>
            <w:tcBorders>
              <w:top w:val="single" w:sz="8" w:space="0" w:color="auto"/>
              <w:left w:val="single" w:sz="8" w:space="0" w:color="auto"/>
              <w:bottom w:val="single" w:sz="8" w:space="0" w:color="auto"/>
              <w:right w:val="single" w:sz="8" w:space="0" w:color="auto"/>
            </w:tcBorders>
            <w:vAlign w:val="center"/>
          </w:tcPr>
          <w:p w:rsidR="000A4A6F" w:rsidRDefault="000A4A6F">
            <w:pPr>
              <w:rPr>
                <w:rFonts w:asciiTheme="minorEastAsia" w:eastAsiaTheme="minorEastAsia" w:hAnsiTheme="minorEastAsia"/>
                <w:szCs w:val="21"/>
              </w:rPr>
            </w:pPr>
          </w:p>
        </w:tc>
        <w:tc>
          <w:tcPr>
            <w:tcW w:w="4248" w:type="dxa"/>
            <w:tcBorders>
              <w:top w:val="single" w:sz="8" w:space="0" w:color="auto"/>
              <w:left w:val="single" w:sz="8" w:space="0" w:color="auto"/>
              <w:bottom w:val="single" w:sz="8" w:space="0" w:color="auto"/>
              <w:right w:val="single" w:sz="8" w:space="0" w:color="auto"/>
            </w:tcBorders>
            <w:shd w:val="clear" w:color="auto" w:fill="auto"/>
            <w:vAlign w:val="center"/>
          </w:tcPr>
          <w:p w:rsidR="000A4A6F" w:rsidRDefault="000A4A6F">
            <w:pPr>
              <w:rPr>
                <w:rFonts w:asciiTheme="minorEastAsia" w:eastAsiaTheme="minorEastAsia" w:hAnsiTheme="minorEastAsia"/>
                <w:szCs w:val="21"/>
              </w:rPr>
            </w:pPr>
          </w:p>
        </w:tc>
      </w:tr>
    </w:tbl>
    <w:p w:rsidR="000A4A6F" w:rsidRDefault="000A4A6F">
      <w:pPr>
        <w:rPr>
          <w:rFonts w:eastAsia="仿宋"/>
          <w:szCs w:val="21"/>
        </w:rPr>
      </w:pPr>
    </w:p>
    <w:p w:rsidR="000A4A6F" w:rsidRDefault="000A4A6F">
      <w:pPr>
        <w:rPr>
          <w:rFonts w:eastAsia="仿宋"/>
        </w:rPr>
      </w:pPr>
    </w:p>
    <w:sectPr w:rsidR="000A4A6F" w:rsidSect="005152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F1" w:rsidRDefault="00DB4DF1" w:rsidP="005D24A5">
      <w:r>
        <w:separator/>
      </w:r>
    </w:p>
  </w:endnote>
  <w:endnote w:type="continuationSeparator" w:id="0">
    <w:p w:rsidR="00DB4DF1" w:rsidRDefault="00DB4DF1" w:rsidP="005D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F1" w:rsidRDefault="00DB4DF1" w:rsidP="005D24A5">
      <w:r>
        <w:separator/>
      </w:r>
    </w:p>
  </w:footnote>
  <w:footnote w:type="continuationSeparator" w:id="0">
    <w:p w:rsidR="00DB4DF1" w:rsidRDefault="00DB4DF1" w:rsidP="005D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0184"/>
    <w:rsid w:val="000013E6"/>
    <w:rsid w:val="000A4A6F"/>
    <w:rsid w:val="001804E1"/>
    <w:rsid w:val="00242AB4"/>
    <w:rsid w:val="002542C2"/>
    <w:rsid w:val="00262693"/>
    <w:rsid w:val="003005DF"/>
    <w:rsid w:val="00322AB4"/>
    <w:rsid w:val="00361007"/>
    <w:rsid w:val="004A0184"/>
    <w:rsid w:val="004C471E"/>
    <w:rsid w:val="0051522F"/>
    <w:rsid w:val="005D24A5"/>
    <w:rsid w:val="006A40B5"/>
    <w:rsid w:val="006C1361"/>
    <w:rsid w:val="0074188E"/>
    <w:rsid w:val="007630A8"/>
    <w:rsid w:val="00830B7E"/>
    <w:rsid w:val="00836D56"/>
    <w:rsid w:val="00854866"/>
    <w:rsid w:val="00B212BA"/>
    <w:rsid w:val="00B4230B"/>
    <w:rsid w:val="00B70063"/>
    <w:rsid w:val="00B849DD"/>
    <w:rsid w:val="00BB1C94"/>
    <w:rsid w:val="00BC7B55"/>
    <w:rsid w:val="00C7374E"/>
    <w:rsid w:val="00C85A9F"/>
    <w:rsid w:val="00CE5AD3"/>
    <w:rsid w:val="00DB4DF1"/>
    <w:rsid w:val="00ED11C0"/>
    <w:rsid w:val="00F002B7"/>
    <w:rsid w:val="00F11531"/>
    <w:rsid w:val="00F17F2E"/>
    <w:rsid w:val="00F320A8"/>
    <w:rsid w:val="00F503E8"/>
    <w:rsid w:val="00F73EEB"/>
    <w:rsid w:val="00FA24D5"/>
    <w:rsid w:val="17BB507B"/>
    <w:rsid w:val="2CE75E38"/>
    <w:rsid w:val="56EF5D2C"/>
    <w:rsid w:val="590D5846"/>
    <w:rsid w:val="66C33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074E7-AC14-4DC8-AA78-0E67CC8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2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1522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5152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51522F"/>
    <w:rPr>
      <w:sz w:val="18"/>
      <w:szCs w:val="18"/>
    </w:rPr>
  </w:style>
  <w:style w:type="character" w:customStyle="1" w:styleId="Char">
    <w:name w:val="页脚 Char"/>
    <w:basedOn w:val="a0"/>
    <w:link w:val="a3"/>
    <w:uiPriority w:val="99"/>
    <w:rsid w:val="0051522F"/>
    <w:rPr>
      <w:sz w:val="18"/>
      <w:szCs w:val="18"/>
    </w:rPr>
  </w:style>
  <w:style w:type="paragraph" w:styleId="a5">
    <w:name w:val="Title"/>
    <w:basedOn w:val="a"/>
    <w:next w:val="a"/>
    <w:link w:val="Char1"/>
    <w:uiPriority w:val="10"/>
    <w:qFormat/>
    <w:rsid w:val="005D24A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D24A5"/>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Company>PUIH</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刘立煌</cp:lastModifiedBy>
  <cp:revision>7</cp:revision>
  <dcterms:created xsi:type="dcterms:W3CDTF">2016-11-01T05:11:00Z</dcterms:created>
  <dcterms:modified xsi:type="dcterms:W3CDTF">2016-11-28T04:54:00Z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