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29" w:rsidRDefault="004D3B78" w:rsidP="00E70729">
      <w:pPr>
        <w:adjustRightInd w:val="0"/>
        <w:snapToGrid w:val="0"/>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脑转移瘤临床路径</w:t>
      </w:r>
    </w:p>
    <w:p w:rsidR="00321F29" w:rsidRDefault="004D3B78" w:rsidP="00E70729">
      <w:pPr>
        <w:adjustRightInd w:val="0"/>
        <w:snapToGrid w:val="0"/>
        <w:spacing w:line="360" w:lineRule="auto"/>
        <w:jc w:val="center"/>
        <w:rPr>
          <w:rFonts w:ascii="仿宋_GB2312" w:eastAsia="仿宋_GB2312"/>
          <w:color w:val="000000"/>
          <w:sz w:val="32"/>
          <w:szCs w:val="32"/>
          <w:lang w:val="en-GB"/>
        </w:rPr>
      </w:pPr>
      <w:r w:rsidRPr="00C4025C">
        <w:rPr>
          <w:rFonts w:ascii="仿宋_GB2312" w:eastAsia="仿宋_GB2312" w:hint="eastAsia"/>
          <w:color w:val="000000"/>
          <w:sz w:val="32"/>
          <w:szCs w:val="32"/>
          <w:lang w:val="en-GB"/>
        </w:rPr>
        <w:t>（2016年版）</w:t>
      </w:r>
    </w:p>
    <w:p w:rsidR="00BB1967" w:rsidRDefault="00BB1967" w:rsidP="00E70729">
      <w:pPr>
        <w:adjustRightInd w:val="0"/>
        <w:snapToGrid w:val="0"/>
        <w:spacing w:line="360" w:lineRule="auto"/>
        <w:jc w:val="center"/>
        <w:rPr>
          <w:rFonts w:asciiTheme="majorEastAsia" w:eastAsiaTheme="majorEastAsia" w:hAnsiTheme="majorEastAsia" w:cstheme="majorEastAsia" w:hint="eastAsia"/>
          <w:b/>
          <w:color w:val="000000"/>
          <w:sz w:val="44"/>
          <w:szCs w:val="44"/>
          <w:lang w:val="en-GB"/>
        </w:rPr>
      </w:pPr>
      <w:bookmarkStart w:id="0" w:name="_GoBack"/>
      <w:bookmarkEnd w:id="0"/>
    </w:p>
    <w:p w:rsidR="00321F29" w:rsidRDefault="004D3B78" w:rsidP="00E70729">
      <w:pPr>
        <w:adjustRightInd w:val="0"/>
        <w:snapToGrid w:val="0"/>
        <w:spacing w:beforeLines="100" w:before="312" w:line="360" w:lineRule="auto"/>
        <w:ind w:firstLineChars="200" w:firstLine="640"/>
        <w:rPr>
          <w:rFonts w:ascii="黑体" w:eastAsia="黑体"/>
          <w:color w:val="000000"/>
          <w:sz w:val="32"/>
          <w:szCs w:val="32"/>
          <w:lang w:val="en-GB"/>
        </w:rPr>
      </w:pPr>
      <w:r>
        <w:rPr>
          <w:rFonts w:ascii="黑体" w:eastAsia="黑体" w:hint="eastAsia"/>
          <w:color w:val="000000"/>
          <w:sz w:val="32"/>
          <w:szCs w:val="32"/>
          <w:lang w:val="en-GB"/>
        </w:rPr>
        <w:t>一、脑转移瘤临床路径标准住院流程</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（一）适用对象</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第一诊断为恶性肿瘤伴脑转移瘤，行头颅放射治疗需住院者。</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（二）诊断依据</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1.临床表现：头痛、恶心呕吐、癫痫发作、轻偏瘫、言语障碍、精神障碍、认知障碍、共济失调、感觉异常、视盘水肿等；</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2.影像学检查：头颅MRI或者头颅CT证实存在脑转移瘤；</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3.原发肿瘤病理学诊断明确（组织病理学、细胞病理学）。</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（三）进入路径标准</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1.第一诊断为恶性肿瘤伴脑转移瘤</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2.无放疗禁忌症</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3.当患者合并其他疾病，但住院期间不需要特殊处理也不影响第一诊断的临床路径流程实施时，可以进入路径</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（四）标准住院日≤6周</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（五）住院期间的检查项目</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lastRenderedPageBreak/>
        <w:t>1.必需的检查项目</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（1）血常规、尿常规、便常规；</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（2）肝功能、肾功能、电解质、CRP/PCT；</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（3）肿瘤标志物、心电图；</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（4）头颅增强MRI或者CT扫描；</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（5）头颅定位CT。</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2.根据患者病情进行的检查项目</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（1）肺功能、超声心动图；</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（2）凝血功能；乙肝三系；</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（3）ECT骨扫描；</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（4）上腹部CT增强扫描或腹部超声检查；</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（5）胸片或胸部CT；</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（6）PET-CT；</w:t>
      </w:r>
    </w:p>
    <w:p w:rsidR="00321F29" w:rsidRDefault="004D3B78" w:rsidP="00C4025C">
      <w:pPr>
        <w:adjustRightInd w:val="0"/>
        <w:snapToGrid w:val="0"/>
        <w:spacing w:line="360" w:lineRule="auto"/>
        <w:ind w:firstLineChars="200" w:firstLine="640"/>
        <w:rPr>
          <w:rFonts w:ascii="仿宋-GB2313" w:eastAsia="仿宋-GB2313" w:hAnsi="仿宋-GB2313" w:cs="仿宋-GB2313"/>
          <w:sz w:val="28"/>
          <w:szCs w:val="28"/>
        </w:rPr>
      </w:pPr>
      <w:r>
        <w:rPr>
          <w:rFonts w:ascii="仿宋_GB2312" w:eastAsia="仿宋_GB2312" w:hint="eastAsia"/>
          <w:color w:val="000000"/>
          <w:sz w:val="32"/>
          <w:szCs w:val="32"/>
          <w:lang w:val="en-GB"/>
        </w:rPr>
        <w:t>（7）临床需要的其他检查项目。</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（六）放疗方案</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根据2015年《NCCN脑转移瘤诊断治疗指南》及《肿瘤放射治疗学（第四版）》。</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1.靶区的确定：头颅增强MR或CT扫描，可为靶体积及其边界的确定提供参考。</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2.放射治疗计划：推荐使用CT模拟定位和三维计划系统，应该使用静脉对比剂以增进显像。</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3.放射治疗剂量：</w:t>
      </w:r>
    </w:p>
    <w:p w:rsidR="00321F29" w:rsidRDefault="004D3B78" w:rsidP="00C4025C">
      <w:pPr>
        <w:adjustRightInd w:val="0"/>
        <w:snapToGrid w:val="0"/>
        <w:spacing w:line="360" w:lineRule="auto"/>
        <w:ind w:firstLineChars="200" w:firstLine="640"/>
        <w:rPr>
          <w:rFonts w:ascii="仿宋-GB2313" w:eastAsia="仿宋-GB2313" w:hAnsi="仿宋-GB2313" w:cs="仿宋-GB2313"/>
          <w:sz w:val="28"/>
          <w:szCs w:val="28"/>
        </w:rPr>
      </w:pPr>
      <w:r>
        <w:rPr>
          <w:rFonts w:ascii="仿宋_GB2312" w:eastAsia="仿宋_GB2312" w:hint="eastAsia"/>
          <w:color w:val="000000"/>
          <w:sz w:val="32"/>
          <w:szCs w:val="32"/>
          <w:lang w:val="en-GB"/>
        </w:rPr>
        <w:lastRenderedPageBreak/>
        <w:t>根据原发肿瘤、转移瘤个数、病灶大小、患者KPS评分等具体情况选择放疗方案。常用方案有：立体定向放疗（SBRT）50Gy/5-10F；全脑30Gy/10F；全脑25Gy/10F，瘤床同步推量至50Gy/10F。</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w:t>
      </w:r>
      <w:r>
        <w:rPr>
          <w:rFonts w:ascii="楷体_GB2312" w:eastAsia="楷体_GB2312" w:hint="eastAsia"/>
          <w:b/>
          <w:color w:val="000000"/>
          <w:sz w:val="32"/>
          <w:szCs w:val="32"/>
        </w:rPr>
        <w:t>七</w:t>
      </w:r>
      <w:r>
        <w:rPr>
          <w:rFonts w:ascii="楷体_GB2312" w:eastAsia="楷体_GB2312" w:hint="eastAsia"/>
          <w:b/>
          <w:color w:val="000000"/>
          <w:sz w:val="32"/>
          <w:szCs w:val="32"/>
          <w:lang w:val="en-GB"/>
        </w:rPr>
        <w:t>）放疗后的复查</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1.放疗结束时必须复查的检查项目为血常规；</w:t>
      </w:r>
    </w:p>
    <w:p w:rsidR="00321F29" w:rsidRDefault="004D3B78" w:rsidP="00C4025C">
      <w:pPr>
        <w:adjustRightInd w:val="0"/>
        <w:snapToGrid w:val="0"/>
        <w:spacing w:line="360" w:lineRule="auto"/>
        <w:ind w:firstLineChars="200" w:firstLine="640"/>
        <w:rPr>
          <w:rFonts w:ascii="仿宋-GB2313" w:eastAsia="仿宋-GB2313" w:hAnsi="仿宋-GB2313" w:cs="仿宋-GB2313"/>
          <w:sz w:val="28"/>
          <w:szCs w:val="28"/>
        </w:rPr>
      </w:pPr>
      <w:r>
        <w:rPr>
          <w:rFonts w:ascii="仿宋_GB2312" w:eastAsia="仿宋_GB2312" w:hint="eastAsia"/>
          <w:color w:val="000000"/>
          <w:sz w:val="32"/>
          <w:szCs w:val="32"/>
          <w:lang w:val="en-GB"/>
        </w:rPr>
        <w:t>2.治疗前存在不正常的化验结果，则在放疗结束时需要复查该项目。</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w:t>
      </w:r>
      <w:r>
        <w:rPr>
          <w:rFonts w:ascii="楷体_GB2312" w:eastAsia="楷体_GB2312" w:hint="eastAsia"/>
          <w:b/>
          <w:color w:val="000000"/>
          <w:sz w:val="32"/>
          <w:szCs w:val="32"/>
        </w:rPr>
        <w:t>八</w:t>
      </w:r>
      <w:r>
        <w:rPr>
          <w:rFonts w:ascii="楷体_GB2312" w:eastAsia="楷体_GB2312" w:hint="eastAsia"/>
          <w:b/>
          <w:color w:val="000000"/>
          <w:sz w:val="32"/>
          <w:szCs w:val="32"/>
          <w:lang w:val="en-GB"/>
        </w:rPr>
        <w:t>）出院标准</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1.完成全部放射治疗计划；</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2.无严重毒性反应需要住院处理；</w:t>
      </w:r>
    </w:p>
    <w:p w:rsidR="00321F29" w:rsidRDefault="004D3B78" w:rsidP="00C4025C">
      <w:pPr>
        <w:adjustRightInd w:val="0"/>
        <w:snapToGrid w:val="0"/>
        <w:spacing w:line="360" w:lineRule="auto"/>
        <w:ind w:firstLineChars="200" w:firstLine="640"/>
        <w:rPr>
          <w:rFonts w:ascii="仿宋-GB2313" w:eastAsia="仿宋-GB2313" w:hAnsi="仿宋-GB2313" w:cs="仿宋-GB2313"/>
          <w:b/>
          <w:sz w:val="28"/>
          <w:szCs w:val="28"/>
        </w:rPr>
      </w:pPr>
      <w:r>
        <w:rPr>
          <w:rFonts w:ascii="仿宋_GB2312" w:eastAsia="仿宋_GB2312" w:hint="eastAsia"/>
          <w:color w:val="000000"/>
          <w:sz w:val="32"/>
          <w:szCs w:val="32"/>
          <w:lang w:val="en-GB"/>
        </w:rPr>
        <w:t>3.无需要住院处理的其他合并症/并发症。</w:t>
      </w:r>
    </w:p>
    <w:p w:rsidR="00321F29" w:rsidRDefault="004D3B78" w:rsidP="00C4025C">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color w:val="000000"/>
          <w:sz w:val="32"/>
          <w:szCs w:val="32"/>
          <w:lang w:val="en-GB"/>
        </w:rPr>
        <w:t>（</w:t>
      </w:r>
      <w:r>
        <w:rPr>
          <w:rFonts w:ascii="楷体_GB2312" w:eastAsia="楷体_GB2312" w:hint="eastAsia"/>
          <w:b/>
          <w:color w:val="000000"/>
          <w:sz w:val="32"/>
          <w:szCs w:val="32"/>
        </w:rPr>
        <w:t>九</w:t>
      </w:r>
      <w:r>
        <w:rPr>
          <w:rFonts w:ascii="楷体_GB2312" w:eastAsia="楷体_GB2312" w:hint="eastAsia"/>
          <w:b/>
          <w:color w:val="000000"/>
          <w:sz w:val="32"/>
          <w:szCs w:val="32"/>
          <w:lang w:val="en-GB"/>
        </w:rPr>
        <w:t>）变异及原因分析</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1.放疗期间的合并症和/或并发症，需要进行相关的诊断和治疗，导致住院时间延长、费用增加；</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2.肿瘤的复发或转移、病情进展退出临床路径；</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3.医师认可的变异原因分析，如药物减量使用；</w:t>
      </w:r>
    </w:p>
    <w:p w:rsidR="00321F29" w:rsidRDefault="004D3B78" w:rsidP="00C4025C">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4.其他患者方面的原因等。</w:t>
      </w: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321F29" w:rsidP="00C4025C">
      <w:pPr>
        <w:adjustRightInd w:val="0"/>
        <w:snapToGrid w:val="0"/>
        <w:spacing w:line="360" w:lineRule="auto"/>
        <w:ind w:firstLine="640"/>
        <w:rPr>
          <w:rFonts w:ascii="仿宋-GB2313" w:eastAsia="仿宋-GB2313" w:hAnsi="仿宋-GB2313" w:cs="仿宋-GB2313"/>
          <w:bCs/>
          <w:sz w:val="28"/>
          <w:szCs w:val="32"/>
        </w:rPr>
      </w:pPr>
    </w:p>
    <w:p w:rsidR="00321F29" w:rsidRDefault="004D3B78" w:rsidP="004D3B78">
      <w:pPr>
        <w:tabs>
          <w:tab w:val="left" w:pos="6945"/>
        </w:tabs>
        <w:adjustRightInd w:val="0"/>
        <w:snapToGrid w:val="0"/>
        <w:spacing w:line="360" w:lineRule="auto"/>
        <w:ind w:firstLineChars="200" w:firstLine="640"/>
        <w:rPr>
          <w:rFonts w:ascii="黑体" w:eastAsia="黑体"/>
          <w:color w:val="000000"/>
          <w:sz w:val="32"/>
          <w:szCs w:val="32"/>
          <w:lang w:val="en-GB"/>
        </w:rPr>
      </w:pPr>
      <w:r>
        <w:rPr>
          <w:rFonts w:ascii="黑体" w:eastAsia="黑体" w:hint="eastAsia"/>
          <w:color w:val="000000"/>
          <w:sz w:val="32"/>
          <w:szCs w:val="32"/>
          <w:lang w:val="en-GB"/>
        </w:rPr>
        <w:t>二、脑转移瘤临床路径执行表单</w:t>
      </w:r>
    </w:p>
    <w:p w:rsidR="00321F29" w:rsidRDefault="004D3B78" w:rsidP="00C4025C">
      <w:pPr>
        <w:snapToGrid w:val="0"/>
        <w:rPr>
          <w:rFonts w:ascii="宋体" w:hAnsi="宋体"/>
          <w:color w:val="000000"/>
          <w:szCs w:val="21"/>
          <w:lang w:val="en-GB"/>
        </w:rPr>
      </w:pPr>
      <w:r>
        <w:rPr>
          <w:rFonts w:ascii="宋体" w:hAnsi="宋体" w:hint="eastAsia"/>
          <w:color w:val="000000"/>
          <w:szCs w:val="21"/>
          <w:lang w:val="en-GB"/>
        </w:rPr>
        <w:t>适用对象：</w:t>
      </w:r>
      <w:r w:rsidRPr="00C4025C">
        <w:rPr>
          <w:rFonts w:ascii="宋体" w:hAnsi="宋体" w:hint="eastAsia"/>
          <w:b/>
          <w:color w:val="000000"/>
          <w:szCs w:val="21"/>
          <w:lang w:val="en-GB"/>
        </w:rPr>
        <w:t>第一诊断</w:t>
      </w:r>
      <w:r>
        <w:rPr>
          <w:rFonts w:ascii="宋体" w:hAnsi="宋体" w:hint="eastAsia"/>
          <w:color w:val="000000"/>
          <w:szCs w:val="21"/>
          <w:lang w:val="en-GB"/>
        </w:rPr>
        <w:t>恶性肿瘤伴脑转移瘤；</w:t>
      </w:r>
      <w:r w:rsidR="00E70729" w:rsidRPr="00E70729">
        <w:rPr>
          <w:rFonts w:ascii="宋体" w:hAnsi="宋体" w:hint="eastAsia"/>
          <w:color w:val="000000"/>
          <w:szCs w:val="21"/>
          <w:lang w:val="en-GB"/>
        </w:rPr>
        <w:t>行头颅放射治疗</w:t>
      </w:r>
    </w:p>
    <w:p w:rsidR="00321F29" w:rsidRDefault="004D3B78" w:rsidP="00C4025C">
      <w:pPr>
        <w:snapToGrid w:val="0"/>
        <w:rPr>
          <w:rFonts w:ascii="宋体" w:hAnsi="宋体"/>
          <w:color w:val="000000"/>
          <w:szCs w:val="21"/>
          <w:lang w:val="en-GB"/>
        </w:rPr>
      </w:pPr>
      <w:r>
        <w:rPr>
          <w:rFonts w:ascii="宋体" w:hAnsi="宋体"/>
          <w:color w:val="000000"/>
          <w:szCs w:val="21"/>
          <w:lang w:val="en-GB"/>
        </w:rPr>
        <w:t>患者姓名：性别：年龄：门诊号： 住院号：</w:t>
      </w:r>
    </w:p>
    <w:p w:rsidR="00321F29" w:rsidRDefault="004D3B78" w:rsidP="00C4025C">
      <w:pPr>
        <w:snapToGrid w:val="0"/>
        <w:rPr>
          <w:rFonts w:asciiTheme="minorEastAsia" w:eastAsiaTheme="minorEastAsia" w:hAnsiTheme="minorEastAsia" w:cstheme="minorEastAsia"/>
          <w:szCs w:val="21"/>
        </w:rPr>
      </w:pPr>
      <w:r>
        <w:rPr>
          <w:rFonts w:ascii="宋体" w:hAnsi="宋体"/>
          <w:color w:val="000000"/>
          <w:szCs w:val="21"/>
          <w:lang w:val="en-GB"/>
        </w:rPr>
        <w:t>住院日期：年月日     出院日期：年月日   标准住院日</w:t>
      </w:r>
      <w:r>
        <w:rPr>
          <w:rFonts w:ascii="宋体" w:hAnsi="宋体" w:hint="eastAsia"/>
          <w:color w:val="000000"/>
          <w:szCs w:val="21"/>
          <w:lang w:val="en-GB"/>
        </w:rPr>
        <w:t>：日</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402"/>
        <w:gridCol w:w="2861"/>
        <w:gridCol w:w="1959"/>
      </w:tblGrid>
      <w:tr w:rsidR="00321F29" w:rsidTr="00E70729">
        <w:trPr>
          <w:cantSplit/>
          <w:trHeight w:val="625"/>
          <w:jc w:val="center"/>
        </w:trPr>
        <w:tc>
          <w:tcPr>
            <w:tcW w:w="717" w:type="dxa"/>
            <w:tcBorders>
              <w:top w:val="double" w:sz="4" w:space="0" w:color="auto"/>
              <w:left w:val="double" w:sz="4" w:space="0" w:color="auto"/>
              <w:bottom w:val="double" w:sz="4" w:space="0" w:color="auto"/>
              <w:right w:val="double" w:sz="4" w:space="0" w:color="auto"/>
            </w:tcBorders>
            <w:vAlign w:val="center"/>
          </w:tcPr>
          <w:p w:rsidR="00321F29" w:rsidRDefault="004D3B78" w:rsidP="00E70729">
            <w:pPr>
              <w:spacing w:line="260" w:lineRule="exact"/>
              <w:jc w:val="center"/>
              <w:rPr>
                <w:rFonts w:ascii="宋体" w:hAnsi="宋体"/>
                <w:szCs w:val="21"/>
              </w:rPr>
            </w:pPr>
            <w:r>
              <w:rPr>
                <w:rFonts w:ascii="黑体" w:eastAsia="黑体" w:hAnsi="宋体" w:hint="eastAsia"/>
                <w:bCs/>
                <w:color w:val="000000"/>
                <w:szCs w:val="21"/>
                <w:lang w:val="en-GB"/>
              </w:rPr>
              <w:t>时间</w:t>
            </w:r>
          </w:p>
        </w:tc>
        <w:tc>
          <w:tcPr>
            <w:tcW w:w="3402"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spacing w:line="260" w:lineRule="exact"/>
              <w:ind w:firstLineChars="150" w:firstLine="315"/>
              <w:rPr>
                <w:rFonts w:ascii="宋体" w:hAnsi="宋体"/>
                <w:szCs w:val="21"/>
              </w:rPr>
            </w:pPr>
            <w:r>
              <w:rPr>
                <w:rFonts w:ascii="黑体" w:eastAsia="黑体" w:hAnsi="宋体" w:hint="eastAsia"/>
                <w:bCs/>
                <w:color w:val="000000"/>
                <w:szCs w:val="21"/>
                <w:lang w:val="en-GB"/>
              </w:rPr>
              <w:t>住院第1天</w:t>
            </w:r>
          </w:p>
        </w:tc>
        <w:tc>
          <w:tcPr>
            <w:tcW w:w="2861"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spacing w:line="260" w:lineRule="exact"/>
              <w:ind w:firstLine="420"/>
              <w:rPr>
                <w:rFonts w:ascii="宋体" w:hAnsi="宋体"/>
                <w:szCs w:val="21"/>
                <w:u w:val="single"/>
              </w:rPr>
            </w:pPr>
            <w:r>
              <w:rPr>
                <w:rFonts w:ascii="黑体" w:eastAsia="黑体" w:hAnsi="宋体" w:hint="eastAsia"/>
                <w:bCs/>
                <w:color w:val="000000"/>
                <w:szCs w:val="21"/>
                <w:lang w:val="en-GB"/>
              </w:rPr>
              <w:t>住院第2-5天</w:t>
            </w:r>
          </w:p>
        </w:tc>
        <w:tc>
          <w:tcPr>
            <w:tcW w:w="1959"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spacing w:line="260" w:lineRule="exact"/>
              <w:ind w:firstLine="420"/>
              <w:rPr>
                <w:rFonts w:ascii="黑体" w:eastAsia="黑体" w:hAnsi="宋体"/>
                <w:bCs/>
                <w:color w:val="000000"/>
                <w:szCs w:val="21"/>
                <w:lang w:val="en-GB"/>
              </w:rPr>
            </w:pPr>
            <w:r>
              <w:rPr>
                <w:rFonts w:ascii="黑体" w:eastAsia="黑体" w:hAnsi="宋体" w:hint="eastAsia"/>
                <w:bCs/>
                <w:color w:val="000000"/>
                <w:szCs w:val="21"/>
                <w:lang w:val="en-GB"/>
              </w:rPr>
              <w:t>放疗期间</w:t>
            </w:r>
          </w:p>
        </w:tc>
      </w:tr>
      <w:tr w:rsidR="00321F29" w:rsidTr="00E70729">
        <w:trPr>
          <w:cantSplit/>
          <w:trHeight w:val="1147"/>
          <w:jc w:val="center"/>
        </w:trPr>
        <w:tc>
          <w:tcPr>
            <w:tcW w:w="717" w:type="dxa"/>
            <w:tcBorders>
              <w:top w:val="double" w:sz="4" w:space="0" w:color="auto"/>
            </w:tcBorders>
            <w:vAlign w:val="center"/>
          </w:tcPr>
          <w:p w:rsidR="00321F29" w:rsidRDefault="00321F29" w:rsidP="00E70729">
            <w:pPr>
              <w:spacing w:line="260" w:lineRule="exact"/>
              <w:ind w:firstLine="420"/>
              <w:jc w:val="center"/>
              <w:rPr>
                <w:rFonts w:ascii="黑体" w:eastAsia="黑体" w:hAnsi="宋体"/>
                <w:bCs/>
                <w:color w:val="000000"/>
                <w:szCs w:val="21"/>
                <w:lang w:val="en-GB"/>
              </w:rPr>
            </w:pPr>
          </w:p>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诊</w:t>
            </w:r>
          </w:p>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疗</w:t>
            </w:r>
          </w:p>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工</w:t>
            </w:r>
          </w:p>
          <w:p w:rsidR="00321F29" w:rsidRDefault="004D3B78" w:rsidP="00E70729">
            <w:pPr>
              <w:spacing w:line="260" w:lineRule="exact"/>
              <w:jc w:val="center"/>
              <w:rPr>
                <w:rFonts w:ascii="宋体" w:hAnsi="宋体" w:cs="宋体"/>
                <w:b/>
                <w:kern w:val="0"/>
                <w:szCs w:val="21"/>
              </w:rPr>
            </w:pPr>
            <w:r>
              <w:rPr>
                <w:rFonts w:ascii="黑体" w:eastAsia="黑体" w:hAnsi="宋体" w:hint="eastAsia"/>
                <w:bCs/>
                <w:color w:val="000000"/>
                <w:szCs w:val="21"/>
                <w:lang w:val="en-GB"/>
              </w:rPr>
              <w:t>作</w:t>
            </w:r>
          </w:p>
        </w:tc>
        <w:tc>
          <w:tcPr>
            <w:tcW w:w="3402" w:type="dxa"/>
            <w:tcBorders>
              <w:top w:val="double" w:sz="4" w:space="0" w:color="auto"/>
            </w:tcBorders>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询问病史及体格检查</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□完成病历书写</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开化验单及检查申请单</w:t>
            </w:r>
          </w:p>
          <w:p w:rsidR="00321F29" w:rsidRDefault="00321F29" w:rsidP="00FA666A">
            <w:pPr>
              <w:spacing w:line="260" w:lineRule="exact"/>
              <w:rPr>
                <w:rFonts w:ascii="宋体" w:hAnsi="宋体"/>
                <w:color w:val="000000"/>
                <w:szCs w:val="21"/>
                <w:lang w:val="en-GB"/>
              </w:rPr>
            </w:pPr>
          </w:p>
        </w:tc>
        <w:tc>
          <w:tcPr>
            <w:tcW w:w="2861" w:type="dxa"/>
            <w:tcBorders>
              <w:top w:val="double" w:sz="4" w:space="0" w:color="auto"/>
            </w:tcBorders>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□上级医师查房和评估</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初步确定诊疗方案</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完成放疗前检查、准备</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根据病理结果影像学资料等，结合患者的基础疾病和综合治疗方案，行放疗前讨论，确定放疗方案</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放疗定位，定位后CT扫描或直接行模拟定位CT或模拟机定位</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医师勾画靶区</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物理师初步制定计划</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医师评估并确认计划</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模拟机及加速器计划确认和核对</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住院医师完成病程日志</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完成必要的相关科室会诊</w:t>
            </w:r>
          </w:p>
          <w:p w:rsidR="00321F29" w:rsidRDefault="004D3B78" w:rsidP="00E70729">
            <w:pPr>
              <w:spacing w:line="260" w:lineRule="exact"/>
              <w:rPr>
                <w:rFonts w:ascii="宋体" w:hAnsi="宋体"/>
                <w:color w:val="000000"/>
                <w:szCs w:val="21"/>
                <w:lang w:val="en-GB"/>
              </w:rPr>
            </w:pPr>
            <w:r>
              <w:rPr>
                <w:rFonts w:ascii="宋体" w:hAnsi="宋体"/>
                <w:color w:val="000000"/>
                <w:szCs w:val="21"/>
                <w:lang w:val="en-GB"/>
              </w:rPr>
              <w:t>□签署放疗知情同意书、授权委托同意书</w:t>
            </w:r>
            <w:r>
              <w:rPr>
                <w:rFonts w:ascii="宋体" w:hAnsi="宋体" w:hint="eastAsia"/>
                <w:color w:val="000000"/>
                <w:szCs w:val="21"/>
                <w:lang w:val="en-GB"/>
              </w:rPr>
              <w:t>、</w:t>
            </w:r>
            <w:r>
              <w:rPr>
                <w:rFonts w:ascii="宋体" w:hAnsi="宋体"/>
                <w:color w:val="000000"/>
                <w:szCs w:val="21"/>
                <w:lang w:val="en-GB"/>
              </w:rPr>
              <w:t>向患者及家属交代病情及放疗注意事项</w:t>
            </w:r>
          </w:p>
        </w:tc>
        <w:tc>
          <w:tcPr>
            <w:tcW w:w="1959" w:type="dxa"/>
            <w:tcBorders>
              <w:top w:val="double" w:sz="4" w:space="0" w:color="auto"/>
            </w:tcBorders>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□上级医师查房</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□住院医师完成必要病程记录</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视病人情况给予对应的对症治疗</w:t>
            </w:r>
          </w:p>
        </w:tc>
      </w:tr>
      <w:tr w:rsidR="00321F29" w:rsidTr="00E70729">
        <w:trPr>
          <w:cantSplit/>
          <w:trHeight w:val="625"/>
          <w:jc w:val="center"/>
        </w:trPr>
        <w:tc>
          <w:tcPr>
            <w:tcW w:w="717" w:type="dxa"/>
            <w:vAlign w:val="center"/>
          </w:tcPr>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lastRenderedPageBreak/>
              <w:t>重</w:t>
            </w:r>
          </w:p>
          <w:p w:rsidR="00321F29" w:rsidRDefault="00321F29" w:rsidP="00E70729">
            <w:pPr>
              <w:spacing w:line="260" w:lineRule="exact"/>
              <w:ind w:firstLine="420"/>
              <w:jc w:val="center"/>
              <w:rPr>
                <w:rFonts w:ascii="黑体" w:eastAsia="黑体" w:hAnsi="宋体"/>
                <w:bCs/>
                <w:color w:val="000000"/>
                <w:szCs w:val="21"/>
                <w:lang w:val="en-GB"/>
              </w:rPr>
            </w:pPr>
          </w:p>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点</w:t>
            </w:r>
          </w:p>
          <w:p w:rsidR="00321F29" w:rsidRDefault="00321F29" w:rsidP="00E70729">
            <w:pPr>
              <w:spacing w:line="260" w:lineRule="exact"/>
              <w:ind w:firstLine="420"/>
              <w:jc w:val="center"/>
              <w:rPr>
                <w:rFonts w:ascii="黑体" w:eastAsia="黑体" w:hAnsi="宋体"/>
                <w:bCs/>
                <w:color w:val="000000"/>
                <w:szCs w:val="21"/>
                <w:lang w:val="en-GB"/>
              </w:rPr>
            </w:pPr>
          </w:p>
          <w:p w:rsidR="00FA666A" w:rsidRDefault="00FA666A"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医</w:t>
            </w:r>
          </w:p>
          <w:p w:rsidR="00FA666A" w:rsidRDefault="00FA666A" w:rsidP="00E70729">
            <w:pPr>
              <w:spacing w:line="260" w:lineRule="exact"/>
              <w:ind w:firstLine="420"/>
              <w:jc w:val="center"/>
              <w:rPr>
                <w:rFonts w:ascii="黑体" w:eastAsia="黑体" w:hAnsi="宋体"/>
                <w:bCs/>
                <w:color w:val="000000"/>
                <w:szCs w:val="21"/>
                <w:lang w:val="en-GB"/>
              </w:rPr>
            </w:pPr>
          </w:p>
          <w:p w:rsidR="00321F29" w:rsidRPr="00FA666A" w:rsidRDefault="00FA666A"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嘱</w:t>
            </w:r>
          </w:p>
        </w:tc>
        <w:tc>
          <w:tcPr>
            <w:tcW w:w="3402" w:type="dxa"/>
          </w:tcPr>
          <w:p w:rsidR="00321F29" w:rsidRDefault="004D3B78" w:rsidP="00FA666A">
            <w:pPr>
              <w:spacing w:line="260" w:lineRule="exact"/>
              <w:rPr>
                <w:rFonts w:ascii="宋体" w:hAnsi="宋体"/>
                <w:b/>
                <w:bCs/>
                <w:color w:val="000000"/>
                <w:szCs w:val="21"/>
                <w:lang w:val="en-GB"/>
              </w:rPr>
            </w:pPr>
            <w:r>
              <w:rPr>
                <w:rFonts w:ascii="宋体" w:hAnsi="宋体" w:hint="eastAsia"/>
                <w:b/>
                <w:bCs/>
                <w:color w:val="000000"/>
                <w:szCs w:val="21"/>
                <w:lang w:val="en-GB"/>
              </w:rPr>
              <w:t>长期医嘱：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放疗科护理常规</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二级/一级护理</w:t>
            </w:r>
            <w:r>
              <w:rPr>
                <w:rFonts w:ascii="宋体" w:hAnsi="宋体"/>
                <w:color w:val="000000"/>
                <w:szCs w:val="21"/>
                <w:lang w:val="en-GB"/>
              </w:rPr>
              <w:t>（根据病情）</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□普食、糖尿病饮食或其他</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其他：测血糖、测血压等</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地塞米松、甘露醇、甘油果糖等脱水降颅内压治疗（必要时）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丙戊酸钠片等预防性抗癫痫治疗（必要时）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□其他医嘱</w:t>
            </w:r>
          </w:p>
          <w:p w:rsidR="00321F29" w:rsidRDefault="00321F29" w:rsidP="00FA666A">
            <w:pPr>
              <w:spacing w:line="260" w:lineRule="exact"/>
              <w:rPr>
                <w:rFonts w:ascii="宋体" w:hAnsi="宋体"/>
                <w:color w:val="000000"/>
                <w:szCs w:val="21"/>
                <w:lang w:val="en-GB"/>
              </w:rPr>
            </w:pPr>
          </w:p>
          <w:p w:rsidR="00321F29" w:rsidRDefault="004D3B78" w:rsidP="00FA666A">
            <w:pPr>
              <w:spacing w:line="260" w:lineRule="exact"/>
              <w:rPr>
                <w:rFonts w:ascii="宋体" w:hAnsi="宋体"/>
                <w:b/>
                <w:bCs/>
                <w:color w:val="000000"/>
                <w:szCs w:val="21"/>
                <w:lang w:val="en-GB"/>
              </w:rPr>
            </w:pPr>
            <w:r>
              <w:rPr>
                <w:rFonts w:ascii="宋体" w:hAnsi="宋体"/>
                <w:b/>
                <w:bCs/>
                <w:color w:val="000000"/>
                <w:szCs w:val="21"/>
                <w:lang w:val="en-GB"/>
              </w:rPr>
              <w:t>临时医嘱：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血常规、尿常规、大便常规</w:t>
            </w:r>
            <w:r>
              <w:rPr>
                <w:rFonts w:ascii="宋体" w:hAnsi="宋体" w:hint="eastAsia"/>
                <w:color w:val="000000"/>
                <w:szCs w:val="21"/>
                <w:lang w:val="en-GB"/>
              </w:rPr>
              <w:t>、CRP或PCT</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肝肾功能、电解质、肿瘤标志物检查</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心电图</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头颅增强MR或者CT、头颅定位CT</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根据病情：</w:t>
            </w:r>
            <w:r>
              <w:rPr>
                <w:rFonts w:ascii="宋体" w:hAnsi="宋体" w:hint="eastAsia"/>
                <w:color w:val="000000"/>
                <w:szCs w:val="21"/>
                <w:lang w:val="en-GB"/>
              </w:rPr>
              <w:t>乙肝三系、胸片/</w:t>
            </w:r>
            <w:r>
              <w:rPr>
                <w:rFonts w:ascii="宋体" w:hAnsi="宋体"/>
                <w:color w:val="000000"/>
                <w:szCs w:val="21"/>
                <w:lang w:val="en-GB"/>
              </w:rPr>
              <w:t>胸部CT、腹部超声或CT、全身骨扫描</w:t>
            </w:r>
            <w:r>
              <w:rPr>
                <w:rFonts w:ascii="宋体" w:hAnsi="宋体" w:hint="eastAsia"/>
                <w:color w:val="000000"/>
                <w:szCs w:val="21"/>
                <w:lang w:val="en-GB"/>
              </w:rPr>
              <w:t>、PET-CT</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其他特殊医嘱</w:t>
            </w:r>
          </w:p>
          <w:p w:rsidR="00321F29" w:rsidRDefault="00321F29" w:rsidP="00FA666A">
            <w:pPr>
              <w:spacing w:line="260" w:lineRule="exact"/>
              <w:rPr>
                <w:rFonts w:ascii="宋体" w:hAnsi="宋体"/>
                <w:color w:val="000000"/>
                <w:szCs w:val="21"/>
                <w:lang w:val="en-GB"/>
              </w:rPr>
            </w:pPr>
          </w:p>
        </w:tc>
        <w:tc>
          <w:tcPr>
            <w:tcW w:w="2861" w:type="dxa"/>
          </w:tcPr>
          <w:p w:rsidR="00321F29" w:rsidRDefault="004D3B78" w:rsidP="00FA666A">
            <w:pPr>
              <w:spacing w:line="260" w:lineRule="exact"/>
              <w:rPr>
                <w:rFonts w:ascii="宋体" w:hAnsi="宋体"/>
                <w:b/>
                <w:bCs/>
                <w:color w:val="000000"/>
                <w:szCs w:val="21"/>
                <w:lang w:val="en-GB"/>
              </w:rPr>
            </w:pPr>
            <w:r>
              <w:rPr>
                <w:rFonts w:ascii="宋体" w:hAnsi="宋体"/>
                <w:b/>
                <w:bCs/>
                <w:color w:val="000000"/>
                <w:szCs w:val="21"/>
                <w:lang w:val="en-GB"/>
              </w:rPr>
              <w:t>长期医嘱：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患者既往基础用药</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□其他医嘱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临时医嘱：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□其它特殊医嘱</w:t>
            </w:r>
          </w:p>
        </w:tc>
        <w:tc>
          <w:tcPr>
            <w:tcW w:w="1959" w:type="dxa"/>
          </w:tcPr>
          <w:p w:rsidR="00321F29" w:rsidRDefault="004D3B78" w:rsidP="00FA666A">
            <w:pPr>
              <w:spacing w:line="260" w:lineRule="exact"/>
              <w:rPr>
                <w:rFonts w:ascii="宋体" w:hAnsi="宋体"/>
                <w:b/>
                <w:bCs/>
                <w:color w:val="000000"/>
                <w:szCs w:val="21"/>
                <w:lang w:val="en-GB"/>
              </w:rPr>
            </w:pPr>
            <w:r>
              <w:rPr>
                <w:rFonts w:ascii="宋体" w:hAnsi="宋体" w:hint="eastAsia"/>
                <w:b/>
                <w:bCs/>
                <w:color w:val="000000"/>
                <w:szCs w:val="21"/>
                <w:lang w:val="en-GB"/>
              </w:rPr>
              <w:t>长期医嘱：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地塞米松、甘露醇、甘油果糖等脱水降颅内压治疗（必要时）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丙戊酸钠片等预防性抗癫痫治疗（必要时）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替莫唑胺胶囊 75mg/m2（必要时)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止吐、护胃、护肝、升白细胞、升血小板（必要时）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□抗菌药物（必要时）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□其他医嘱</w:t>
            </w:r>
          </w:p>
          <w:p w:rsidR="00321F29" w:rsidRDefault="00321F29" w:rsidP="00FA666A">
            <w:pPr>
              <w:spacing w:line="260" w:lineRule="exact"/>
              <w:rPr>
                <w:rFonts w:ascii="宋体" w:hAnsi="宋体"/>
                <w:color w:val="000000"/>
                <w:szCs w:val="21"/>
                <w:lang w:val="en-GB"/>
              </w:rPr>
            </w:pPr>
          </w:p>
          <w:p w:rsidR="00321F29" w:rsidRDefault="004D3B78" w:rsidP="00FA666A">
            <w:pPr>
              <w:spacing w:line="260" w:lineRule="exact"/>
              <w:rPr>
                <w:rFonts w:ascii="宋体" w:hAnsi="宋体"/>
                <w:b/>
                <w:bCs/>
                <w:color w:val="000000"/>
                <w:szCs w:val="21"/>
                <w:lang w:val="en-GB"/>
              </w:rPr>
            </w:pPr>
            <w:r>
              <w:rPr>
                <w:rFonts w:ascii="宋体" w:hAnsi="宋体" w:hint="eastAsia"/>
                <w:b/>
                <w:bCs/>
                <w:color w:val="000000"/>
                <w:szCs w:val="21"/>
                <w:lang w:val="en-GB"/>
              </w:rPr>
              <w:t>临时医嘱：</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血常规、生化</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CRP、PCT（必要时）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病原微生物培养（必要时）</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□其它特殊医嘱</w:t>
            </w:r>
          </w:p>
          <w:p w:rsidR="00321F29" w:rsidRDefault="00321F29" w:rsidP="00FA666A">
            <w:pPr>
              <w:spacing w:line="260" w:lineRule="exact"/>
              <w:rPr>
                <w:rFonts w:ascii="宋体" w:hAnsi="宋体"/>
                <w:color w:val="000000"/>
                <w:szCs w:val="21"/>
                <w:lang w:val="en-GB"/>
              </w:rPr>
            </w:pPr>
          </w:p>
        </w:tc>
      </w:tr>
      <w:tr w:rsidR="00321F29" w:rsidTr="00E70729">
        <w:trPr>
          <w:cantSplit/>
          <w:trHeight w:val="625"/>
          <w:jc w:val="center"/>
        </w:trPr>
        <w:tc>
          <w:tcPr>
            <w:tcW w:w="717" w:type="dxa"/>
            <w:vAlign w:val="center"/>
          </w:tcPr>
          <w:p w:rsidR="00321F29" w:rsidRDefault="00321F29" w:rsidP="00E70729">
            <w:pPr>
              <w:widowControl/>
              <w:spacing w:line="260" w:lineRule="exact"/>
              <w:jc w:val="center"/>
              <w:rPr>
                <w:rFonts w:ascii="宋体" w:hAnsi="宋体"/>
                <w:b/>
                <w:kern w:val="0"/>
                <w:szCs w:val="21"/>
              </w:rPr>
            </w:pPr>
          </w:p>
          <w:p w:rsidR="00321F29" w:rsidRDefault="004D3B78" w:rsidP="00E70729">
            <w:pPr>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护理</w:t>
            </w:r>
          </w:p>
          <w:p w:rsidR="00321F29" w:rsidRDefault="004D3B78" w:rsidP="00E70729">
            <w:pPr>
              <w:spacing w:line="260" w:lineRule="exact"/>
              <w:jc w:val="center"/>
              <w:rPr>
                <w:rFonts w:ascii="宋体" w:hAnsi="宋体"/>
                <w:szCs w:val="21"/>
              </w:rPr>
            </w:pPr>
            <w:r>
              <w:rPr>
                <w:rFonts w:ascii="黑体" w:eastAsia="黑体" w:hAnsi="宋体" w:hint="eastAsia"/>
                <w:bCs/>
                <w:color w:val="000000"/>
                <w:szCs w:val="21"/>
                <w:lang w:val="en-GB"/>
              </w:rPr>
              <w:t>工作</w:t>
            </w:r>
          </w:p>
        </w:tc>
        <w:tc>
          <w:tcPr>
            <w:tcW w:w="3402" w:type="dxa"/>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介绍病房环境、设施和设备</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入院护理评估，护理计划</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静脉取血</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协助完成各项实验室检查及辅助检查</w:t>
            </w:r>
          </w:p>
        </w:tc>
        <w:tc>
          <w:tcPr>
            <w:tcW w:w="2861" w:type="dxa"/>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放疗前准备</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放疗前宣教（正常组织保护等）</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提醒患者放疗期间病情变化</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 定时巡视病房</w:t>
            </w:r>
          </w:p>
        </w:tc>
        <w:tc>
          <w:tcPr>
            <w:tcW w:w="1959" w:type="dxa"/>
          </w:tcPr>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观察放疗期间病情变化</w:t>
            </w:r>
          </w:p>
          <w:p w:rsidR="00321F29" w:rsidRDefault="004D3B78" w:rsidP="00FA666A">
            <w:pPr>
              <w:spacing w:line="260" w:lineRule="exact"/>
              <w:rPr>
                <w:rFonts w:ascii="宋体" w:hAnsi="宋体"/>
                <w:color w:val="000000"/>
                <w:szCs w:val="21"/>
                <w:lang w:val="en-GB"/>
              </w:rPr>
            </w:pPr>
            <w:r>
              <w:rPr>
                <w:rFonts w:ascii="宋体" w:hAnsi="宋体"/>
                <w:color w:val="000000"/>
                <w:szCs w:val="21"/>
                <w:lang w:val="en-GB"/>
              </w:rPr>
              <w:t>□</w:t>
            </w:r>
            <w:r>
              <w:rPr>
                <w:rFonts w:ascii="宋体" w:hAnsi="宋体" w:hint="eastAsia"/>
                <w:color w:val="000000"/>
                <w:szCs w:val="21"/>
                <w:lang w:val="en-GB"/>
              </w:rPr>
              <w:t xml:space="preserve"> 定时巡视病房</w:t>
            </w:r>
          </w:p>
          <w:p w:rsidR="00321F29" w:rsidRDefault="00321F29" w:rsidP="00FA666A">
            <w:pPr>
              <w:spacing w:line="260" w:lineRule="exact"/>
              <w:rPr>
                <w:rFonts w:ascii="宋体" w:hAnsi="宋体"/>
                <w:color w:val="000000"/>
                <w:szCs w:val="21"/>
                <w:lang w:val="en-GB"/>
              </w:rPr>
            </w:pPr>
          </w:p>
        </w:tc>
      </w:tr>
      <w:tr w:rsidR="00321F29" w:rsidTr="00E70729">
        <w:trPr>
          <w:cantSplit/>
          <w:trHeight w:val="340"/>
          <w:jc w:val="center"/>
        </w:trPr>
        <w:tc>
          <w:tcPr>
            <w:tcW w:w="717" w:type="dxa"/>
            <w:vAlign w:val="center"/>
          </w:tcPr>
          <w:p w:rsidR="00321F29" w:rsidRDefault="004D3B78" w:rsidP="00E70729">
            <w:pPr>
              <w:widowControl/>
              <w:spacing w:line="260" w:lineRule="exact"/>
              <w:jc w:val="center"/>
              <w:rPr>
                <w:rFonts w:ascii="宋体" w:hAnsi="宋体"/>
                <w:b/>
                <w:kern w:val="0"/>
                <w:szCs w:val="21"/>
              </w:rPr>
            </w:pPr>
            <w:r>
              <w:rPr>
                <w:rFonts w:ascii="黑体" w:eastAsia="黑体" w:hAnsi="宋体" w:hint="eastAsia"/>
                <w:bCs/>
                <w:color w:val="000000"/>
                <w:szCs w:val="21"/>
                <w:lang w:val="en-GB"/>
              </w:rPr>
              <w:t>变异</w:t>
            </w:r>
          </w:p>
        </w:tc>
        <w:tc>
          <w:tcPr>
            <w:tcW w:w="3402"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□无  □有，原因：</w:t>
            </w:r>
          </w:p>
        </w:tc>
        <w:tc>
          <w:tcPr>
            <w:tcW w:w="2861"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□无  □有，原因：</w:t>
            </w:r>
          </w:p>
        </w:tc>
        <w:tc>
          <w:tcPr>
            <w:tcW w:w="1959"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□无  □有，原因：</w:t>
            </w:r>
          </w:p>
        </w:tc>
      </w:tr>
      <w:tr w:rsidR="00321F29" w:rsidTr="00E70729">
        <w:trPr>
          <w:cantSplit/>
          <w:trHeight w:val="680"/>
          <w:jc w:val="center"/>
        </w:trPr>
        <w:tc>
          <w:tcPr>
            <w:tcW w:w="717" w:type="dxa"/>
            <w:vAlign w:val="center"/>
          </w:tcPr>
          <w:p w:rsidR="00321F29" w:rsidRDefault="004D3B78" w:rsidP="00E70729">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护士</w:t>
            </w:r>
          </w:p>
          <w:p w:rsidR="00321F29" w:rsidRDefault="004D3B78" w:rsidP="00E70729">
            <w:pPr>
              <w:widowControl/>
              <w:spacing w:line="260" w:lineRule="exact"/>
              <w:jc w:val="center"/>
              <w:rPr>
                <w:rFonts w:ascii="宋体" w:hAnsi="宋体"/>
                <w:szCs w:val="21"/>
              </w:rPr>
            </w:pPr>
            <w:r>
              <w:rPr>
                <w:rFonts w:ascii="黑体" w:eastAsia="黑体" w:hAnsi="宋体" w:hint="eastAsia"/>
                <w:bCs/>
                <w:color w:val="000000"/>
                <w:szCs w:val="21"/>
                <w:lang w:val="en-GB"/>
              </w:rPr>
              <w:t>签名</w:t>
            </w:r>
          </w:p>
        </w:tc>
        <w:tc>
          <w:tcPr>
            <w:tcW w:w="3402" w:type="dxa"/>
          </w:tcPr>
          <w:p w:rsidR="00321F29" w:rsidRDefault="00321F29" w:rsidP="00FA666A">
            <w:pPr>
              <w:spacing w:line="260" w:lineRule="exact"/>
              <w:rPr>
                <w:rFonts w:ascii="宋体" w:hAnsi="宋体"/>
                <w:color w:val="000000"/>
                <w:szCs w:val="21"/>
                <w:lang w:val="en-GB"/>
              </w:rPr>
            </w:pPr>
          </w:p>
        </w:tc>
        <w:tc>
          <w:tcPr>
            <w:tcW w:w="2861" w:type="dxa"/>
          </w:tcPr>
          <w:p w:rsidR="00321F29" w:rsidRDefault="00321F29" w:rsidP="00FA666A">
            <w:pPr>
              <w:spacing w:line="260" w:lineRule="exact"/>
              <w:rPr>
                <w:rFonts w:ascii="宋体" w:hAnsi="宋体"/>
                <w:color w:val="000000"/>
                <w:szCs w:val="21"/>
                <w:lang w:val="en-GB"/>
              </w:rPr>
            </w:pPr>
          </w:p>
        </w:tc>
        <w:tc>
          <w:tcPr>
            <w:tcW w:w="1959" w:type="dxa"/>
          </w:tcPr>
          <w:p w:rsidR="00321F29" w:rsidRDefault="00321F29" w:rsidP="00FA666A">
            <w:pPr>
              <w:spacing w:line="260" w:lineRule="exact"/>
              <w:rPr>
                <w:rFonts w:ascii="宋体" w:hAnsi="宋体"/>
                <w:color w:val="000000"/>
                <w:szCs w:val="21"/>
                <w:lang w:val="en-GB"/>
              </w:rPr>
            </w:pPr>
          </w:p>
        </w:tc>
      </w:tr>
      <w:tr w:rsidR="00321F29" w:rsidTr="00E70729">
        <w:trPr>
          <w:trHeight w:val="645"/>
          <w:jc w:val="center"/>
        </w:trPr>
        <w:tc>
          <w:tcPr>
            <w:tcW w:w="717" w:type="dxa"/>
            <w:vAlign w:val="center"/>
          </w:tcPr>
          <w:p w:rsidR="00321F29" w:rsidRDefault="004D3B78" w:rsidP="00E70729">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医师</w:t>
            </w:r>
          </w:p>
          <w:p w:rsidR="00321F29" w:rsidRDefault="004D3B78" w:rsidP="00E70729">
            <w:pPr>
              <w:widowControl/>
              <w:spacing w:line="260" w:lineRule="exact"/>
              <w:jc w:val="center"/>
              <w:rPr>
                <w:rFonts w:ascii="宋体" w:hAnsi="宋体"/>
                <w:szCs w:val="21"/>
              </w:rPr>
            </w:pPr>
            <w:r>
              <w:rPr>
                <w:rFonts w:ascii="黑体" w:eastAsia="黑体" w:hAnsi="宋体" w:hint="eastAsia"/>
                <w:bCs/>
                <w:color w:val="000000"/>
                <w:szCs w:val="21"/>
                <w:lang w:val="en-GB"/>
              </w:rPr>
              <w:t>签名</w:t>
            </w:r>
          </w:p>
        </w:tc>
        <w:tc>
          <w:tcPr>
            <w:tcW w:w="3402" w:type="dxa"/>
          </w:tcPr>
          <w:p w:rsidR="00321F29" w:rsidRDefault="00321F29" w:rsidP="00FA666A">
            <w:pPr>
              <w:spacing w:line="260" w:lineRule="exact"/>
              <w:ind w:firstLine="420"/>
              <w:rPr>
                <w:rFonts w:ascii="宋体" w:hAnsi="宋体"/>
              </w:rPr>
            </w:pPr>
          </w:p>
        </w:tc>
        <w:tc>
          <w:tcPr>
            <w:tcW w:w="2861" w:type="dxa"/>
          </w:tcPr>
          <w:p w:rsidR="00321F29" w:rsidRDefault="00321F29" w:rsidP="00FA666A">
            <w:pPr>
              <w:spacing w:line="260" w:lineRule="exact"/>
              <w:ind w:firstLine="420"/>
              <w:rPr>
                <w:rFonts w:ascii="宋体" w:hAnsi="宋体"/>
              </w:rPr>
            </w:pPr>
          </w:p>
        </w:tc>
        <w:tc>
          <w:tcPr>
            <w:tcW w:w="1959" w:type="dxa"/>
          </w:tcPr>
          <w:p w:rsidR="00321F29" w:rsidRDefault="00321F29" w:rsidP="00FA666A">
            <w:pPr>
              <w:spacing w:line="260" w:lineRule="exact"/>
              <w:ind w:firstLine="420"/>
              <w:rPr>
                <w:rFonts w:ascii="宋体" w:hAnsi="宋体"/>
              </w:rPr>
            </w:pPr>
          </w:p>
        </w:tc>
      </w:tr>
    </w:tbl>
    <w:p w:rsidR="00321F29" w:rsidRDefault="00321F29">
      <w:pPr>
        <w:spacing w:line="360" w:lineRule="auto"/>
        <w:rPr>
          <w:rFonts w:ascii="宋体" w:hAnsi="宋体"/>
          <w:szCs w:val="21"/>
        </w:rPr>
      </w:pPr>
    </w:p>
    <w:p w:rsidR="00321F29" w:rsidRDefault="00321F29">
      <w:pPr>
        <w:spacing w:line="360" w:lineRule="auto"/>
        <w:rPr>
          <w:rFonts w:ascii="宋体" w:hAnsi="宋体"/>
          <w:szCs w:val="21"/>
        </w:rPr>
      </w:pPr>
    </w:p>
    <w:p w:rsidR="00E70729" w:rsidRDefault="00E70729">
      <w:pPr>
        <w:spacing w:line="360" w:lineRule="auto"/>
        <w:rPr>
          <w:rFonts w:ascii="宋体" w:hAnsi="宋体"/>
          <w:szCs w:val="21"/>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260"/>
        <w:gridCol w:w="3119"/>
        <w:gridCol w:w="1237"/>
      </w:tblGrid>
      <w:tr w:rsidR="00321F29" w:rsidTr="00E70729">
        <w:trPr>
          <w:cantSplit/>
          <w:trHeight w:val="625"/>
          <w:jc w:val="center"/>
        </w:trPr>
        <w:tc>
          <w:tcPr>
            <w:tcW w:w="728"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时间</w:t>
            </w:r>
          </w:p>
        </w:tc>
        <w:tc>
          <w:tcPr>
            <w:tcW w:w="3260"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出院前1-3天</w:t>
            </w:r>
          </w:p>
        </w:tc>
        <w:tc>
          <w:tcPr>
            <w:tcW w:w="3119" w:type="dxa"/>
            <w:tcBorders>
              <w:top w:val="double" w:sz="4" w:space="0" w:color="auto"/>
              <w:left w:val="double" w:sz="4" w:space="0" w:color="auto"/>
              <w:bottom w:val="double" w:sz="4" w:space="0" w:color="auto"/>
              <w:right w:val="double" w:sz="4" w:space="0" w:color="auto"/>
            </w:tcBorders>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住院第18-20天</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出院日</w:t>
            </w:r>
          </w:p>
        </w:tc>
        <w:tc>
          <w:tcPr>
            <w:tcW w:w="1237" w:type="dxa"/>
            <w:tcBorders>
              <w:top w:val="double" w:sz="4" w:space="0" w:color="auto"/>
              <w:left w:val="double" w:sz="4" w:space="0" w:color="auto"/>
              <w:bottom w:val="double" w:sz="4" w:space="0" w:color="auto"/>
              <w:right w:val="double" w:sz="4" w:space="0" w:color="auto"/>
            </w:tcBorders>
            <w:vAlign w:val="center"/>
          </w:tcPr>
          <w:p w:rsidR="00321F29" w:rsidRDefault="00321F29" w:rsidP="00FA666A">
            <w:pPr>
              <w:spacing w:line="260" w:lineRule="exact"/>
              <w:ind w:firstLine="420"/>
              <w:rPr>
                <w:rFonts w:ascii="宋体" w:hAnsi="宋体"/>
                <w:szCs w:val="21"/>
              </w:rPr>
            </w:pPr>
          </w:p>
        </w:tc>
      </w:tr>
      <w:tr w:rsidR="00321F29" w:rsidTr="00E70729">
        <w:trPr>
          <w:cantSplit/>
          <w:trHeight w:val="1147"/>
          <w:jc w:val="center"/>
        </w:trPr>
        <w:tc>
          <w:tcPr>
            <w:tcW w:w="728" w:type="dxa"/>
            <w:tcBorders>
              <w:top w:val="double" w:sz="4" w:space="0" w:color="auto"/>
            </w:tcBorders>
            <w:vAlign w:val="center"/>
          </w:tcPr>
          <w:p w:rsidR="00321F29" w:rsidRDefault="00321F29" w:rsidP="00FA666A">
            <w:pPr>
              <w:widowControl/>
              <w:spacing w:line="260" w:lineRule="exact"/>
              <w:jc w:val="center"/>
              <w:rPr>
                <w:rFonts w:ascii="黑体" w:eastAsia="黑体" w:hAnsi="宋体"/>
                <w:bCs/>
                <w:color w:val="000000"/>
                <w:szCs w:val="21"/>
                <w:lang w:val="en-GB"/>
              </w:rPr>
            </w:pP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诊</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疗</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工</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作</w:t>
            </w:r>
          </w:p>
        </w:tc>
        <w:tc>
          <w:tcPr>
            <w:tcW w:w="3260" w:type="dxa"/>
            <w:tcBorders>
              <w:top w:val="double" w:sz="4" w:space="0" w:color="auto"/>
            </w:tcBorders>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上级医师查房，治疗效果评估</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进行病情评估</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确定是否符合出院标准、是否出院</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确定出院后治疗方案</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完成上级医师查房纪录</w:t>
            </w:r>
          </w:p>
        </w:tc>
        <w:tc>
          <w:tcPr>
            <w:tcW w:w="3119" w:type="dxa"/>
            <w:tcBorders>
              <w:top w:val="double" w:sz="4" w:space="0" w:color="auto"/>
            </w:tcBorders>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□完成出院小结</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向患者交待放疗后注意事项</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预约复诊日期</w:t>
            </w:r>
          </w:p>
          <w:p w:rsidR="00321F29" w:rsidRDefault="00321F29" w:rsidP="00FA666A">
            <w:pPr>
              <w:spacing w:line="260" w:lineRule="exact"/>
              <w:rPr>
                <w:rFonts w:ascii="宋体" w:hAnsi="宋体"/>
                <w:color w:val="000000"/>
                <w:szCs w:val="21"/>
                <w:lang w:val="en-GB"/>
              </w:rPr>
            </w:pPr>
          </w:p>
          <w:p w:rsidR="00321F29" w:rsidRDefault="00321F29" w:rsidP="00FA666A">
            <w:pPr>
              <w:spacing w:line="260" w:lineRule="exact"/>
              <w:rPr>
                <w:rFonts w:ascii="宋体" w:hAnsi="宋体"/>
                <w:color w:val="000000"/>
                <w:szCs w:val="21"/>
                <w:lang w:val="en-GB"/>
              </w:rPr>
            </w:pPr>
          </w:p>
        </w:tc>
        <w:tc>
          <w:tcPr>
            <w:tcW w:w="1237" w:type="dxa"/>
            <w:tcBorders>
              <w:top w:val="double" w:sz="4" w:space="0" w:color="auto"/>
            </w:tcBorders>
            <w:vAlign w:val="center"/>
          </w:tcPr>
          <w:p w:rsidR="00321F29" w:rsidRDefault="00321F29" w:rsidP="00FA666A">
            <w:pPr>
              <w:spacing w:line="260" w:lineRule="exact"/>
              <w:rPr>
                <w:rFonts w:ascii="宋体" w:hAnsi="宋体"/>
                <w:color w:val="000000"/>
                <w:szCs w:val="21"/>
                <w:lang w:val="en-GB"/>
              </w:rPr>
            </w:pPr>
          </w:p>
        </w:tc>
      </w:tr>
      <w:tr w:rsidR="00321F29" w:rsidTr="00E70729">
        <w:trPr>
          <w:cantSplit/>
          <w:trHeight w:val="625"/>
          <w:jc w:val="center"/>
        </w:trPr>
        <w:tc>
          <w:tcPr>
            <w:tcW w:w="728" w:type="dxa"/>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lastRenderedPageBreak/>
              <w:t>重</w:t>
            </w:r>
          </w:p>
          <w:p w:rsidR="00321F29" w:rsidRDefault="00321F29" w:rsidP="00FA666A">
            <w:pPr>
              <w:widowControl/>
              <w:spacing w:line="260" w:lineRule="exact"/>
              <w:jc w:val="center"/>
              <w:rPr>
                <w:rFonts w:ascii="黑体" w:eastAsia="黑体" w:hAnsi="宋体"/>
                <w:bCs/>
                <w:color w:val="000000"/>
                <w:szCs w:val="21"/>
                <w:lang w:val="en-GB"/>
              </w:rPr>
            </w:pP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点</w:t>
            </w:r>
          </w:p>
          <w:p w:rsidR="00321F29" w:rsidRDefault="00321F29" w:rsidP="00FA666A">
            <w:pPr>
              <w:widowControl/>
              <w:spacing w:line="260" w:lineRule="exact"/>
              <w:jc w:val="center"/>
              <w:rPr>
                <w:rFonts w:ascii="黑体" w:eastAsia="黑体" w:hAnsi="宋体"/>
                <w:bCs/>
                <w:color w:val="000000"/>
                <w:szCs w:val="21"/>
                <w:lang w:val="en-GB"/>
              </w:rPr>
            </w:pP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医</w:t>
            </w:r>
          </w:p>
          <w:p w:rsidR="00321F29" w:rsidRDefault="00321F29" w:rsidP="00FA666A">
            <w:pPr>
              <w:widowControl/>
              <w:spacing w:line="260" w:lineRule="exact"/>
              <w:jc w:val="center"/>
              <w:rPr>
                <w:rFonts w:ascii="黑体" w:eastAsia="黑体" w:hAnsi="宋体"/>
                <w:bCs/>
                <w:color w:val="000000"/>
                <w:szCs w:val="21"/>
                <w:lang w:val="en-GB"/>
              </w:rPr>
            </w:pP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嘱</w:t>
            </w:r>
          </w:p>
        </w:tc>
        <w:tc>
          <w:tcPr>
            <w:tcW w:w="3260" w:type="dxa"/>
          </w:tcPr>
          <w:p w:rsidR="00321F29" w:rsidRDefault="004D3B78" w:rsidP="00FA666A">
            <w:pPr>
              <w:spacing w:line="260" w:lineRule="exact"/>
              <w:rPr>
                <w:rFonts w:ascii="宋体" w:hAnsi="宋体"/>
                <w:b/>
                <w:bCs/>
                <w:color w:val="000000"/>
                <w:szCs w:val="21"/>
                <w:lang w:val="en-GB"/>
              </w:rPr>
            </w:pPr>
            <w:r>
              <w:rPr>
                <w:rFonts w:ascii="宋体" w:hAnsi="宋体" w:hint="eastAsia"/>
                <w:b/>
                <w:bCs/>
                <w:color w:val="000000"/>
                <w:szCs w:val="21"/>
                <w:lang w:val="en-GB"/>
              </w:rPr>
              <w:t>长期医嘱：</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放疗科护理常规</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二/三级护理（根据病情）</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临时医嘱：</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根据需要，复查有关检查</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对症处理</w:t>
            </w:r>
          </w:p>
        </w:tc>
        <w:tc>
          <w:tcPr>
            <w:tcW w:w="3119" w:type="dxa"/>
          </w:tcPr>
          <w:p w:rsidR="00321F29" w:rsidRDefault="004D3B78" w:rsidP="00FA666A">
            <w:pPr>
              <w:spacing w:line="260" w:lineRule="exact"/>
              <w:rPr>
                <w:rFonts w:ascii="宋体" w:hAnsi="宋体"/>
                <w:b/>
                <w:bCs/>
                <w:color w:val="000000"/>
                <w:szCs w:val="21"/>
                <w:lang w:val="en-GB"/>
              </w:rPr>
            </w:pPr>
            <w:r>
              <w:rPr>
                <w:rFonts w:ascii="宋体" w:hAnsi="宋体" w:hint="eastAsia"/>
                <w:b/>
                <w:bCs/>
                <w:color w:val="000000"/>
                <w:szCs w:val="21"/>
                <w:lang w:val="en-GB"/>
              </w:rPr>
              <w:t>出院医嘱：</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出院带药</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门诊随诊</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每周复查血常规一次</w:t>
            </w:r>
          </w:p>
        </w:tc>
        <w:tc>
          <w:tcPr>
            <w:tcW w:w="1237" w:type="dxa"/>
          </w:tcPr>
          <w:p w:rsidR="00321F29" w:rsidRDefault="00321F29" w:rsidP="00FA666A">
            <w:pPr>
              <w:spacing w:line="260" w:lineRule="exact"/>
              <w:rPr>
                <w:rFonts w:ascii="宋体" w:hAnsi="宋体"/>
                <w:color w:val="000000"/>
                <w:szCs w:val="21"/>
                <w:lang w:val="en-GB"/>
              </w:rPr>
            </w:pPr>
          </w:p>
        </w:tc>
      </w:tr>
      <w:tr w:rsidR="00321F29" w:rsidTr="00E70729">
        <w:trPr>
          <w:cantSplit/>
          <w:trHeight w:val="625"/>
          <w:jc w:val="center"/>
        </w:trPr>
        <w:tc>
          <w:tcPr>
            <w:tcW w:w="728" w:type="dxa"/>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护理</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工作</w:t>
            </w:r>
          </w:p>
        </w:tc>
        <w:tc>
          <w:tcPr>
            <w:tcW w:w="3260"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观察患者一般情况</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恢复期生活和心理护理</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出院准备指导</w:t>
            </w:r>
          </w:p>
          <w:p w:rsidR="00321F29" w:rsidRDefault="00321F29" w:rsidP="00FA666A">
            <w:pPr>
              <w:spacing w:line="260" w:lineRule="exact"/>
              <w:rPr>
                <w:rFonts w:ascii="宋体" w:hAnsi="宋体"/>
                <w:color w:val="000000"/>
                <w:szCs w:val="21"/>
                <w:lang w:val="en-GB"/>
              </w:rPr>
            </w:pPr>
          </w:p>
        </w:tc>
        <w:tc>
          <w:tcPr>
            <w:tcW w:w="3119"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告知复诊计划，就医指征</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帮助患者办理出院手续</w:t>
            </w:r>
          </w:p>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 出院指导</w:t>
            </w:r>
          </w:p>
          <w:p w:rsidR="00321F29" w:rsidRDefault="00321F29" w:rsidP="00FA666A">
            <w:pPr>
              <w:spacing w:line="260" w:lineRule="exact"/>
              <w:rPr>
                <w:rFonts w:ascii="宋体" w:hAnsi="宋体"/>
                <w:color w:val="000000"/>
                <w:szCs w:val="21"/>
                <w:lang w:val="en-GB"/>
              </w:rPr>
            </w:pPr>
          </w:p>
        </w:tc>
        <w:tc>
          <w:tcPr>
            <w:tcW w:w="1237" w:type="dxa"/>
          </w:tcPr>
          <w:p w:rsidR="00321F29" w:rsidRDefault="00321F29" w:rsidP="00FA666A">
            <w:pPr>
              <w:spacing w:line="260" w:lineRule="exact"/>
              <w:rPr>
                <w:rFonts w:ascii="宋体" w:hAnsi="宋体"/>
                <w:color w:val="000000"/>
                <w:szCs w:val="21"/>
                <w:lang w:val="en-GB"/>
              </w:rPr>
            </w:pPr>
          </w:p>
        </w:tc>
      </w:tr>
      <w:tr w:rsidR="00321F29" w:rsidTr="00E70729">
        <w:trPr>
          <w:cantSplit/>
          <w:trHeight w:val="340"/>
          <w:jc w:val="center"/>
        </w:trPr>
        <w:tc>
          <w:tcPr>
            <w:tcW w:w="728" w:type="dxa"/>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变异</w:t>
            </w:r>
          </w:p>
        </w:tc>
        <w:tc>
          <w:tcPr>
            <w:tcW w:w="3260"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□无  □有，原因：</w:t>
            </w:r>
          </w:p>
        </w:tc>
        <w:tc>
          <w:tcPr>
            <w:tcW w:w="3119" w:type="dxa"/>
          </w:tcPr>
          <w:p w:rsidR="00321F29" w:rsidRDefault="004D3B78" w:rsidP="00FA666A">
            <w:pPr>
              <w:spacing w:line="260" w:lineRule="exact"/>
              <w:rPr>
                <w:rFonts w:ascii="宋体" w:hAnsi="宋体"/>
                <w:color w:val="000000"/>
                <w:szCs w:val="21"/>
                <w:lang w:val="en-GB"/>
              </w:rPr>
            </w:pPr>
            <w:r>
              <w:rPr>
                <w:rFonts w:ascii="宋体" w:hAnsi="宋体" w:hint="eastAsia"/>
                <w:color w:val="000000"/>
                <w:szCs w:val="21"/>
                <w:lang w:val="en-GB"/>
              </w:rPr>
              <w:t>□无  □有，原因：</w:t>
            </w:r>
          </w:p>
        </w:tc>
        <w:tc>
          <w:tcPr>
            <w:tcW w:w="1237" w:type="dxa"/>
          </w:tcPr>
          <w:p w:rsidR="00321F29" w:rsidRDefault="00321F29" w:rsidP="00FA666A">
            <w:pPr>
              <w:spacing w:line="260" w:lineRule="exact"/>
              <w:rPr>
                <w:rFonts w:ascii="宋体" w:hAnsi="宋体"/>
                <w:color w:val="000000"/>
                <w:szCs w:val="21"/>
                <w:lang w:val="en-GB"/>
              </w:rPr>
            </w:pPr>
          </w:p>
        </w:tc>
      </w:tr>
      <w:tr w:rsidR="00321F29" w:rsidTr="00E70729">
        <w:trPr>
          <w:cantSplit/>
          <w:trHeight w:val="680"/>
          <w:jc w:val="center"/>
        </w:trPr>
        <w:tc>
          <w:tcPr>
            <w:tcW w:w="728" w:type="dxa"/>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护士</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签名</w:t>
            </w:r>
          </w:p>
        </w:tc>
        <w:tc>
          <w:tcPr>
            <w:tcW w:w="3260" w:type="dxa"/>
          </w:tcPr>
          <w:p w:rsidR="00321F29" w:rsidRDefault="00321F29" w:rsidP="00FA666A">
            <w:pPr>
              <w:spacing w:line="260" w:lineRule="exact"/>
              <w:rPr>
                <w:rFonts w:ascii="宋体" w:hAnsi="宋体"/>
                <w:color w:val="000000"/>
                <w:szCs w:val="21"/>
                <w:lang w:val="en-GB"/>
              </w:rPr>
            </w:pPr>
          </w:p>
        </w:tc>
        <w:tc>
          <w:tcPr>
            <w:tcW w:w="3119" w:type="dxa"/>
          </w:tcPr>
          <w:p w:rsidR="00321F29" w:rsidRDefault="00321F29" w:rsidP="00FA666A">
            <w:pPr>
              <w:spacing w:line="260" w:lineRule="exact"/>
              <w:rPr>
                <w:rFonts w:ascii="宋体" w:hAnsi="宋体"/>
                <w:color w:val="000000"/>
                <w:szCs w:val="21"/>
                <w:lang w:val="en-GB"/>
              </w:rPr>
            </w:pPr>
          </w:p>
        </w:tc>
        <w:tc>
          <w:tcPr>
            <w:tcW w:w="1237" w:type="dxa"/>
          </w:tcPr>
          <w:p w:rsidR="00321F29" w:rsidRDefault="00321F29" w:rsidP="00FA666A">
            <w:pPr>
              <w:spacing w:line="260" w:lineRule="exact"/>
              <w:rPr>
                <w:rFonts w:ascii="宋体" w:hAnsi="宋体"/>
                <w:color w:val="000000"/>
                <w:szCs w:val="21"/>
                <w:lang w:val="en-GB"/>
              </w:rPr>
            </w:pPr>
          </w:p>
        </w:tc>
      </w:tr>
      <w:tr w:rsidR="00321F29" w:rsidTr="00E70729">
        <w:trPr>
          <w:trHeight w:val="645"/>
          <w:jc w:val="center"/>
        </w:trPr>
        <w:tc>
          <w:tcPr>
            <w:tcW w:w="728" w:type="dxa"/>
            <w:vAlign w:val="center"/>
          </w:tcPr>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医师</w:t>
            </w:r>
          </w:p>
          <w:p w:rsidR="00321F29" w:rsidRDefault="004D3B78" w:rsidP="00FA666A">
            <w:pPr>
              <w:widowControl/>
              <w:spacing w:line="260" w:lineRule="exact"/>
              <w:jc w:val="center"/>
              <w:rPr>
                <w:rFonts w:ascii="黑体" w:eastAsia="黑体" w:hAnsi="宋体"/>
                <w:bCs/>
                <w:color w:val="000000"/>
                <w:szCs w:val="21"/>
                <w:lang w:val="en-GB"/>
              </w:rPr>
            </w:pPr>
            <w:r>
              <w:rPr>
                <w:rFonts w:ascii="黑体" w:eastAsia="黑体" w:hAnsi="宋体" w:hint="eastAsia"/>
                <w:bCs/>
                <w:color w:val="000000"/>
                <w:szCs w:val="21"/>
                <w:lang w:val="en-GB"/>
              </w:rPr>
              <w:t>签名</w:t>
            </w:r>
          </w:p>
        </w:tc>
        <w:tc>
          <w:tcPr>
            <w:tcW w:w="3260" w:type="dxa"/>
          </w:tcPr>
          <w:p w:rsidR="00321F29" w:rsidRDefault="00321F29" w:rsidP="00FA666A">
            <w:pPr>
              <w:spacing w:line="260" w:lineRule="exact"/>
              <w:rPr>
                <w:rFonts w:ascii="宋体" w:hAnsi="宋体"/>
                <w:color w:val="000000"/>
                <w:szCs w:val="21"/>
                <w:lang w:val="en-GB"/>
              </w:rPr>
            </w:pPr>
          </w:p>
        </w:tc>
        <w:tc>
          <w:tcPr>
            <w:tcW w:w="3119" w:type="dxa"/>
          </w:tcPr>
          <w:p w:rsidR="00321F29" w:rsidRDefault="00321F29" w:rsidP="00FA666A">
            <w:pPr>
              <w:spacing w:line="260" w:lineRule="exact"/>
              <w:rPr>
                <w:rFonts w:ascii="宋体" w:hAnsi="宋体"/>
                <w:color w:val="000000"/>
                <w:szCs w:val="21"/>
                <w:lang w:val="en-GB"/>
              </w:rPr>
            </w:pPr>
          </w:p>
        </w:tc>
        <w:tc>
          <w:tcPr>
            <w:tcW w:w="1237" w:type="dxa"/>
          </w:tcPr>
          <w:p w:rsidR="00321F29" w:rsidRDefault="00321F29" w:rsidP="00FA666A">
            <w:pPr>
              <w:spacing w:line="260" w:lineRule="exact"/>
              <w:rPr>
                <w:rFonts w:ascii="宋体" w:hAnsi="宋体"/>
                <w:color w:val="000000"/>
                <w:szCs w:val="21"/>
                <w:lang w:val="en-GB"/>
              </w:rPr>
            </w:pPr>
          </w:p>
        </w:tc>
      </w:tr>
    </w:tbl>
    <w:p w:rsidR="00321F29" w:rsidRDefault="00321F29"/>
    <w:sectPr w:rsidR="00321F29" w:rsidSect="00C43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ED" w:rsidRDefault="004818ED" w:rsidP="00E70729">
      <w:r>
        <w:separator/>
      </w:r>
    </w:p>
  </w:endnote>
  <w:endnote w:type="continuationSeparator" w:id="0">
    <w:p w:rsidR="004818ED" w:rsidRDefault="004818ED" w:rsidP="00E7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GB2313">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ED" w:rsidRDefault="004818ED" w:rsidP="00E70729">
      <w:r>
        <w:separator/>
      </w:r>
    </w:p>
  </w:footnote>
  <w:footnote w:type="continuationSeparator" w:id="0">
    <w:p w:rsidR="004818ED" w:rsidRDefault="004818ED" w:rsidP="00E7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16310"/>
    <w:rsid w:val="00026253"/>
    <w:rsid w:val="000C399D"/>
    <w:rsid w:val="000E0A46"/>
    <w:rsid w:val="000E0C0B"/>
    <w:rsid w:val="000F799D"/>
    <w:rsid w:val="001059CE"/>
    <w:rsid w:val="001523C5"/>
    <w:rsid w:val="00160F24"/>
    <w:rsid w:val="00165815"/>
    <w:rsid w:val="00172447"/>
    <w:rsid w:val="001750C5"/>
    <w:rsid w:val="00177A33"/>
    <w:rsid w:val="001816A6"/>
    <w:rsid w:val="001B04A9"/>
    <w:rsid w:val="001C717A"/>
    <w:rsid w:val="002434AC"/>
    <w:rsid w:val="00257B41"/>
    <w:rsid w:val="002620C2"/>
    <w:rsid w:val="00264F3A"/>
    <w:rsid w:val="002704AE"/>
    <w:rsid w:val="00270F43"/>
    <w:rsid w:val="002E6C47"/>
    <w:rsid w:val="002E6DDE"/>
    <w:rsid w:val="00313383"/>
    <w:rsid w:val="00321F29"/>
    <w:rsid w:val="003222BE"/>
    <w:rsid w:val="00334A38"/>
    <w:rsid w:val="00355955"/>
    <w:rsid w:val="00382205"/>
    <w:rsid w:val="003830C8"/>
    <w:rsid w:val="003F2A9A"/>
    <w:rsid w:val="00425B67"/>
    <w:rsid w:val="00432C1D"/>
    <w:rsid w:val="004626D9"/>
    <w:rsid w:val="004818ED"/>
    <w:rsid w:val="004B1C19"/>
    <w:rsid w:val="004B2A5C"/>
    <w:rsid w:val="004C125D"/>
    <w:rsid w:val="004D3B78"/>
    <w:rsid w:val="004F4800"/>
    <w:rsid w:val="00542FF1"/>
    <w:rsid w:val="0056271E"/>
    <w:rsid w:val="005A0BBF"/>
    <w:rsid w:val="005A3658"/>
    <w:rsid w:val="005C71A4"/>
    <w:rsid w:val="005D033F"/>
    <w:rsid w:val="00622DF6"/>
    <w:rsid w:val="00635E1A"/>
    <w:rsid w:val="00654A28"/>
    <w:rsid w:val="00684D4E"/>
    <w:rsid w:val="006A7071"/>
    <w:rsid w:val="006C5400"/>
    <w:rsid w:val="006F2E10"/>
    <w:rsid w:val="006F5E8C"/>
    <w:rsid w:val="00701F99"/>
    <w:rsid w:val="00711B94"/>
    <w:rsid w:val="00737E4C"/>
    <w:rsid w:val="007543C8"/>
    <w:rsid w:val="0076222F"/>
    <w:rsid w:val="00772A68"/>
    <w:rsid w:val="007752DB"/>
    <w:rsid w:val="007A482D"/>
    <w:rsid w:val="007E0F7A"/>
    <w:rsid w:val="007E26C7"/>
    <w:rsid w:val="00827E57"/>
    <w:rsid w:val="0089335F"/>
    <w:rsid w:val="008A52F4"/>
    <w:rsid w:val="008B12F5"/>
    <w:rsid w:val="008C290A"/>
    <w:rsid w:val="008F3A35"/>
    <w:rsid w:val="009257C2"/>
    <w:rsid w:val="00953B44"/>
    <w:rsid w:val="009B23EF"/>
    <w:rsid w:val="00A05AA3"/>
    <w:rsid w:val="00A15BAF"/>
    <w:rsid w:val="00A175CE"/>
    <w:rsid w:val="00A2616A"/>
    <w:rsid w:val="00A628BE"/>
    <w:rsid w:val="00A765CE"/>
    <w:rsid w:val="00AB3FC0"/>
    <w:rsid w:val="00AC18E9"/>
    <w:rsid w:val="00AC7B97"/>
    <w:rsid w:val="00AE53E7"/>
    <w:rsid w:val="00AE575E"/>
    <w:rsid w:val="00B35FFE"/>
    <w:rsid w:val="00B41E22"/>
    <w:rsid w:val="00B718D0"/>
    <w:rsid w:val="00B8058A"/>
    <w:rsid w:val="00B96045"/>
    <w:rsid w:val="00BA2708"/>
    <w:rsid w:val="00BB169F"/>
    <w:rsid w:val="00BB1967"/>
    <w:rsid w:val="00BD733A"/>
    <w:rsid w:val="00C03790"/>
    <w:rsid w:val="00C04644"/>
    <w:rsid w:val="00C35B40"/>
    <w:rsid w:val="00C4025C"/>
    <w:rsid w:val="00C43A46"/>
    <w:rsid w:val="00C45368"/>
    <w:rsid w:val="00C84218"/>
    <w:rsid w:val="00C844DB"/>
    <w:rsid w:val="00CA55A6"/>
    <w:rsid w:val="00CD54D9"/>
    <w:rsid w:val="00CF0BAA"/>
    <w:rsid w:val="00D217B5"/>
    <w:rsid w:val="00D35218"/>
    <w:rsid w:val="00D7341F"/>
    <w:rsid w:val="00D932D8"/>
    <w:rsid w:val="00E1411A"/>
    <w:rsid w:val="00E17894"/>
    <w:rsid w:val="00E24EC5"/>
    <w:rsid w:val="00E305B9"/>
    <w:rsid w:val="00E51A9A"/>
    <w:rsid w:val="00E70729"/>
    <w:rsid w:val="00E835B3"/>
    <w:rsid w:val="00E92776"/>
    <w:rsid w:val="00E934B9"/>
    <w:rsid w:val="00E952B8"/>
    <w:rsid w:val="00EB6E01"/>
    <w:rsid w:val="00EE38A5"/>
    <w:rsid w:val="00F45C26"/>
    <w:rsid w:val="00F5541D"/>
    <w:rsid w:val="00F77477"/>
    <w:rsid w:val="00FA666A"/>
    <w:rsid w:val="00FB27E2"/>
    <w:rsid w:val="00FC02C7"/>
    <w:rsid w:val="00FD6B2B"/>
    <w:rsid w:val="00FF3E03"/>
    <w:rsid w:val="0B4D70B6"/>
    <w:rsid w:val="469201C8"/>
    <w:rsid w:val="699F5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35A02-4F15-43D0-9A8A-8CCDDA75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4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43A4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C43A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C43A46"/>
    <w:rPr>
      <w:sz w:val="18"/>
      <w:szCs w:val="18"/>
    </w:rPr>
  </w:style>
  <w:style w:type="character" w:customStyle="1" w:styleId="Char">
    <w:name w:val="页脚 Char"/>
    <w:basedOn w:val="a0"/>
    <w:link w:val="a3"/>
    <w:uiPriority w:val="99"/>
    <w:semiHidden/>
    <w:rsid w:val="00C43A46"/>
    <w:rPr>
      <w:sz w:val="18"/>
      <w:szCs w:val="18"/>
    </w:rPr>
  </w:style>
  <w:style w:type="paragraph" w:customStyle="1" w:styleId="1">
    <w:name w:val="列出段落1"/>
    <w:basedOn w:val="a"/>
    <w:uiPriority w:val="34"/>
    <w:qFormat/>
    <w:rsid w:val="00C43A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C00DA-1878-4982-A226-21846446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刘立煌</cp:lastModifiedBy>
  <cp:revision>9</cp:revision>
  <dcterms:created xsi:type="dcterms:W3CDTF">2016-11-01T14:54:00Z</dcterms:created>
  <dcterms:modified xsi:type="dcterms:W3CDTF">2016-11-28T08:23:00Z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