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66" w:rsidRPr="00437D77" w:rsidRDefault="00F8375C" w:rsidP="00501895">
      <w:pPr>
        <w:adjustRightInd w:val="0"/>
        <w:snapToGrid w:val="0"/>
        <w:jc w:val="center"/>
        <w:rPr>
          <w:b/>
          <w:color w:val="000000"/>
          <w:sz w:val="44"/>
          <w:szCs w:val="44"/>
          <w:lang w:val="en-GB"/>
        </w:rPr>
      </w:pPr>
      <w:bookmarkStart w:id="0" w:name="_Toc459908844"/>
      <w:r w:rsidRPr="00437D77">
        <w:rPr>
          <w:rFonts w:hint="eastAsia"/>
          <w:b/>
          <w:color w:val="000000"/>
          <w:sz w:val="44"/>
          <w:szCs w:val="44"/>
          <w:lang w:val="en-GB"/>
        </w:rPr>
        <w:t>间质性肺病临床路径</w:t>
      </w:r>
      <w:bookmarkEnd w:id="0"/>
    </w:p>
    <w:p w:rsidR="004D5B88" w:rsidRDefault="004D5B88" w:rsidP="00437D77">
      <w:pPr>
        <w:spacing w:line="360" w:lineRule="auto"/>
        <w:jc w:val="center"/>
        <w:rPr>
          <w:rFonts w:ascii="仿宋_GB2312" w:eastAsia="仿宋_GB2312" w:hAnsi="楷体_GB2312"/>
          <w:bCs/>
          <w:sz w:val="32"/>
          <w:szCs w:val="32"/>
        </w:rPr>
      </w:pPr>
      <w:r w:rsidRPr="00437D77">
        <w:rPr>
          <w:rFonts w:ascii="仿宋_GB2312" w:eastAsia="仿宋_GB2312" w:hAnsi="楷体_GB2312" w:hint="eastAsia"/>
          <w:bCs/>
          <w:sz w:val="32"/>
          <w:szCs w:val="32"/>
        </w:rPr>
        <w:t>(2016年版)</w:t>
      </w:r>
    </w:p>
    <w:p w:rsidR="007479C4" w:rsidRPr="00437D77" w:rsidRDefault="007479C4" w:rsidP="00437D77">
      <w:pPr>
        <w:spacing w:line="360" w:lineRule="auto"/>
        <w:jc w:val="center"/>
        <w:rPr>
          <w:rFonts w:ascii="仿宋_GB2312" w:eastAsia="仿宋_GB2312" w:hAnsi="楷体_GB2312"/>
          <w:bCs/>
          <w:sz w:val="32"/>
          <w:szCs w:val="32"/>
        </w:rPr>
      </w:pPr>
      <w:bookmarkStart w:id="1" w:name="_GoBack"/>
      <w:bookmarkEnd w:id="1"/>
    </w:p>
    <w:p w:rsidR="00BE5A66" w:rsidRPr="00E37EF7" w:rsidRDefault="00F8375C" w:rsidP="00501895">
      <w:pPr>
        <w:pStyle w:val="1"/>
        <w:keepNext w:val="0"/>
        <w:keepLines w:val="0"/>
        <w:widowControl w:val="0"/>
        <w:tabs>
          <w:tab w:val="left" w:pos="6500"/>
        </w:tabs>
        <w:spacing w:beforeLines="100" w:before="312" w:afterLines="0" w:line="360" w:lineRule="auto"/>
        <w:ind w:firstLineChars="200" w:firstLine="640"/>
        <w:jc w:val="both"/>
        <w:rPr>
          <w:rFonts w:ascii="黑体" w:eastAsia="黑体" w:hAnsi="黑体"/>
          <w:b w:val="0"/>
          <w:color w:val="000000"/>
          <w:sz w:val="32"/>
        </w:rPr>
      </w:pPr>
      <w:r w:rsidRPr="00E37EF7">
        <w:rPr>
          <w:rFonts w:ascii="黑体" w:eastAsia="黑体" w:hAnsi="黑体" w:hint="eastAsia"/>
          <w:b w:val="0"/>
          <w:color w:val="000000"/>
          <w:sz w:val="32"/>
        </w:rPr>
        <w:t>一、间质性肺病临床路径标准住院流程</w:t>
      </w:r>
    </w:p>
    <w:p w:rsidR="00BE5A66" w:rsidRPr="00437D77" w:rsidRDefault="00F8375C" w:rsidP="00DD28E1">
      <w:pPr>
        <w:spacing w:line="360" w:lineRule="auto"/>
        <w:ind w:firstLineChars="200" w:firstLine="643"/>
        <w:rPr>
          <w:rFonts w:ascii="楷体_GB2312" w:eastAsia="楷体_GB2312" w:hAnsi="Arial"/>
          <w:b/>
          <w:bCs/>
          <w:sz w:val="32"/>
          <w:szCs w:val="32"/>
          <w:lang w:val="en-GB"/>
        </w:rPr>
      </w:pPr>
      <w:r w:rsidRPr="00437D77">
        <w:rPr>
          <w:rFonts w:ascii="楷体_GB2312" w:eastAsia="楷体_GB2312" w:hAnsi="Arial" w:hint="eastAsia"/>
          <w:b/>
          <w:bCs/>
          <w:sz w:val="32"/>
          <w:szCs w:val="32"/>
          <w:lang w:val="en-GB"/>
        </w:rPr>
        <w:t>（一）适用对象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第一诊断为间质性肺病(ICD-10：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J84.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900)。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（二）诊断依据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病变主要发生在肺间质，累及肺泡壁和肺泡周围组织的一组疾病。临床症状、胸部影像学、肺功能和肺部病理生理改变类似，具有：（1）劳力性呼吸困难；（2）影像表现为双侧弥漫性间质性浸润；（3）限制性通气功能障碍及弥散功能下降；（4）组织病理特征为肺间质炎症和纤维化表现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间质性肺病种类繁多，包括：（1）环境、职业相关的间质性肺病；（2）药物、治疗相关的间质性肺病；（3）肺感染相关的间质性肺病；（4）慢性心脏疾病相关的间质性肺病；（5）肺血管炎及结缔组织病相关的间质性肺病；（6）肝病、肠道相关的间质性肺病；（7）特发性间质性肺炎；（8）其他病因间质性肺病：如结节病、</w:t>
      </w:r>
      <w:r w:rsidR="004D5B88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肺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淋巴管平滑肌瘤病、肺泡蛋白沉积症等。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根据《</w:t>
      </w:r>
      <w:bookmarkStart w:id="2" w:name="_Toc388951110"/>
      <w:r w:rsidR="00E75C8E" w:rsidRPr="00437D77">
        <w:rPr>
          <w:rFonts w:ascii="仿宋_GB2312" w:eastAsia="仿宋_GB2312"/>
          <w:color w:val="000000"/>
          <w:sz w:val="32"/>
          <w:szCs w:val="32"/>
          <w:lang w:val="en-GB"/>
        </w:rPr>
        <w:t>特发性肺纤维化</w:t>
      </w:r>
      <w:bookmarkEnd w:id="2"/>
      <w:r w:rsidR="00E75C8E" w:rsidRPr="00437D77">
        <w:rPr>
          <w:rFonts w:ascii="仿宋_GB2312" w:eastAsia="仿宋_GB2312"/>
          <w:color w:val="000000"/>
          <w:sz w:val="32"/>
          <w:szCs w:val="32"/>
          <w:lang w:val="en-GB"/>
        </w:rPr>
        <w:t>诊断和治疗中国专家共识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》（中华医学会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呼吸病分会间质病学组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，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中华结核和呼吸杂志2016，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lastRenderedPageBreak/>
        <w:t>39（06）：427-432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和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《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特发性肺纤维化国际指南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》（</w:t>
      </w:r>
      <w:r w:rsidR="00E75C8E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Am J RespirCrit Care Med,2011,183;788-824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），特发性肺纤维化诊断标准如下</w:t>
      </w:r>
    </w:p>
    <w:p w:rsidR="00E75C8E" w:rsidRPr="00437D77" w:rsidRDefault="00E75C8E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（1）除外其他已知病因所致的间质性肺疾病，如职业接触、室内外环境暴露、结缔组织病和药物性肺损害等。</w:t>
      </w:r>
    </w:p>
    <w:p w:rsidR="00E75C8E" w:rsidRPr="00437D77" w:rsidRDefault="00E75C8E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（2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未行外科肺活检的患者，HRCT表现为UIP型。</w:t>
      </w:r>
    </w:p>
    <w:p w:rsidR="00E75C8E" w:rsidRPr="00437D77" w:rsidRDefault="00E75C8E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（3）行外科肺活检的患者，结合HRCT和外科肺活检符合特定的类型。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（三）选择治疗方案的依据</w:t>
      </w:r>
    </w:p>
    <w:p w:rsidR="00BE5A66" w:rsidRPr="00437D77" w:rsidRDefault="00E75C8E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根据《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特发性肺纤维化诊断和治疗中国专家共识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》（中华医学会呼吸病分会间质病学组，中华结核和呼吸杂志2016，39（06）：427-432）和《特发性肺纤维化国际指南》（Am J RespirCrit Care Med,2011,183;788-824），特发性肺纤维化诊断标准如下</w:t>
      </w:r>
      <w:r w:rsidR="00F8375C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 xml:space="preserve">1. 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非药物治疗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1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 xml:space="preserve">. 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戒烟：对于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吸烟者，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应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劝导和帮助患者戒烟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2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. 氧疗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：对于有低氧血症者，可以给予持续吸氧。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3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. 机械通气：IPF伴呼吸衰竭的患者大多数不采用气管插管机械通气治疗。无创正压通气可能改善部分IPF患者的缺氧，延长生存时间。医师综合IPF患者的病情和耐受情况，推荐部分患者选择性使用无创正压通气。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lastRenderedPageBreak/>
        <w:t>4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. 肺康复：肺康复的内容包括呼吸生理治疗，肌肉训练（全身性运动和呼吸肌锻炼），营养支持，精神治疗和教育。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5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. 肺移植：IPF患者接受肺移植可以提高生存率，改善生活质量，5年生存率达50%-56%。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 xml:space="preserve">2. 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药物治疗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1）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.推荐酌情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使用药物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①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 xml:space="preserve"> 尼达尼布：能够显著地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延缓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用力呼气肺活量（FVC）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年下降速度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，一定程度上降低病死率和急性加重频率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，主要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副作用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是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腹泻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和胃肠道反应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。</w:t>
      </w:r>
    </w:p>
    <w:p w:rsidR="00F716B0" w:rsidRPr="00437D77" w:rsidRDefault="00F716B0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②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 xml:space="preserve"> 吡非尼酮：是一种多效性的吡啶化合物，具有抗炎、抗纤维化和抗氧化特性。吡非尼酮能够显著地延缓FVC下降速率，副作用包括光过敏、乏力、胃部不适和厌食。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（四）标准住院日为7</w:t>
      </w:r>
      <w:r w:rsidR="00437D77">
        <w:rPr>
          <w:rFonts w:ascii="楷体_GB2312" w:eastAsia="楷体_GB2312" w:hint="eastAsia"/>
          <w:lang w:val="en-GB"/>
        </w:rPr>
        <w:t>-</w:t>
      </w:r>
      <w:r w:rsidRPr="00437D77">
        <w:rPr>
          <w:rFonts w:ascii="楷体_GB2312" w:eastAsia="楷体_GB2312" w:hint="eastAsia"/>
          <w:lang w:val="en-GB"/>
        </w:rPr>
        <w:t>14天。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（五）进入路径标准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1.第一诊断必须符合ICD–10：</w:t>
      </w: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J84.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900间质性肺病疾病编码。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/>
          <w:color w:val="000000"/>
          <w:sz w:val="32"/>
          <w:szCs w:val="32"/>
          <w:lang w:val="en-GB"/>
        </w:rPr>
        <w:t>2.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当患者同时具有其他疾病诊断，但在住院期间不需要特殊处理，也不影响第一诊断的临床路径流程实施时，可以进入路径。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lastRenderedPageBreak/>
        <w:t>（六）住院期间的检查项目。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1.必需的检查项目：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（1）血常规、尿常规、大便常规；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（2） 肝肾功能、血糖、血脂、电解质、血沉、C反应蛋白（CRP）、血气分析、感染性疾病筛查（乙肝、丙肝、梅毒、艾滋病等）、风湿全套、病毒全套筛查、血管紧张素转化酶、血清蛋白电泳等</w:t>
      </w:r>
      <w:r w:rsidR="00616D0F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；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（3）胸部HRCT</w:t>
      </w:r>
      <w:r w:rsidR="00616D0F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、胸部正侧位片、心电图</w:t>
      </w: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；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（4）肺功能（病情允许时）：常规通气功能、弥散功能；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（5）支气管肺泡灌洗液检查（病情允许）；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（6）经支气管肺活检、外科开胸肺活检（必要时且病情允许）。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2.根据患者情况可选择：D–二聚体、肿瘤标志物、病原学检查、超声心动图等。</w:t>
      </w:r>
    </w:p>
    <w:p w:rsidR="00233F4C" w:rsidRPr="00437D77" w:rsidRDefault="00F8375C" w:rsidP="00DD28E1">
      <w:pPr>
        <w:spacing w:line="360" w:lineRule="auto"/>
        <w:ind w:firstLineChars="200" w:firstLine="643"/>
        <w:rPr>
          <w:rFonts w:ascii="楷体_GB2312" w:eastAsia="楷体_GB2312" w:hAnsi="Arial"/>
          <w:b/>
          <w:bCs/>
          <w:sz w:val="32"/>
          <w:szCs w:val="32"/>
          <w:lang w:val="en-GB"/>
        </w:rPr>
      </w:pPr>
      <w:r w:rsidRPr="00437D77">
        <w:rPr>
          <w:rFonts w:ascii="楷体_GB2312" w:eastAsia="楷体_GB2312" w:hAnsi="Arial" w:hint="eastAsia"/>
          <w:b/>
          <w:bCs/>
          <w:sz w:val="32"/>
          <w:szCs w:val="32"/>
          <w:lang w:val="en-GB"/>
        </w:rPr>
        <w:t>（七）药物选择</w:t>
      </w:r>
    </w:p>
    <w:p w:rsidR="00BE5A66" w:rsidRPr="00437D77" w:rsidRDefault="00233F4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由于间质性肺病病因复杂，疾病种类繁多，需要根据不同疾病选择相应的治疗措施</w:t>
      </w:r>
      <w:r w:rsidR="00F8375C"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（八）出院标准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症状好转，生命体征平稳。</w:t>
      </w:r>
    </w:p>
    <w:p w:rsidR="00BE5A66" w:rsidRPr="00437D77" w:rsidRDefault="00F8375C" w:rsidP="00DD28E1">
      <w:pPr>
        <w:pStyle w:val="2"/>
        <w:keepNext w:val="0"/>
        <w:keepLines w:val="0"/>
        <w:spacing w:line="360" w:lineRule="auto"/>
        <w:ind w:firstLineChars="200" w:firstLine="643"/>
        <w:rPr>
          <w:rFonts w:ascii="楷体_GB2312" w:eastAsia="楷体_GB2312"/>
          <w:lang w:val="en-GB"/>
        </w:rPr>
      </w:pPr>
      <w:r w:rsidRPr="00437D77">
        <w:rPr>
          <w:rFonts w:ascii="楷体_GB2312" w:eastAsia="楷体_GB2312" w:hint="eastAsia"/>
          <w:lang w:val="en-GB"/>
        </w:rPr>
        <w:t>（九）变异及原因分析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lastRenderedPageBreak/>
        <w:t>1.伴有影响本病治疗效果的合并症，需要进行相关诊断和治疗，导致住院时间延长。</w:t>
      </w:r>
    </w:p>
    <w:p w:rsidR="00BE5A66" w:rsidRP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2.病情较重，出现并发症（如气胸、呼吸衰竭、严重肺部感染等），退出本路径，转入相应路径。</w:t>
      </w:r>
    </w:p>
    <w:p w:rsidR="00437D77" w:rsidRDefault="00F8375C" w:rsidP="00437D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 w:rsidRPr="00437D77">
        <w:rPr>
          <w:rFonts w:ascii="仿宋_GB2312" w:eastAsia="仿宋_GB2312" w:hint="eastAsia"/>
          <w:color w:val="000000"/>
          <w:sz w:val="32"/>
          <w:szCs w:val="32"/>
          <w:lang w:val="en-GB"/>
        </w:rPr>
        <w:t>3.常规治疗无效或加重，退出本路径。</w:t>
      </w:r>
    </w:p>
    <w:p w:rsidR="00BE5A66" w:rsidRPr="00E37EF7" w:rsidRDefault="00437D77" w:rsidP="00E37EF7">
      <w:pPr>
        <w:pStyle w:val="1"/>
        <w:keepNext w:val="0"/>
        <w:keepLines w:val="0"/>
        <w:widowControl w:val="0"/>
        <w:tabs>
          <w:tab w:val="left" w:pos="6500"/>
        </w:tabs>
        <w:spacing w:beforeLines="0" w:afterLines="0"/>
        <w:jc w:val="both"/>
        <w:rPr>
          <w:rFonts w:ascii="黑体" w:eastAsia="黑体" w:hAnsi="黑体"/>
          <w:b w:val="0"/>
          <w:color w:val="000000"/>
          <w:sz w:val="32"/>
        </w:rPr>
      </w:pPr>
      <w:r>
        <w:rPr>
          <w:rFonts w:ascii="仿宋_GB2312" w:eastAsia="仿宋_GB2312"/>
          <w:color w:val="000000"/>
          <w:sz w:val="32"/>
          <w:szCs w:val="32"/>
          <w:lang w:val="en-GB"/>
        </w:rPr>
        <w:br w:type="page"/>
      </w:r>
      <w:r w:rsidR="00F8375C" w:rsidRPr="00E37EF7">
        <w:rPr>
          <w:rFonts w:ascii="黑体" w:eastAsia="黑体" w:hAnsi="黑体" w:hint="eastAsia"/>
          <w:b w:val="0"/>
          <w:color w:val="000000"/>
          <w:sz w:val="32"/>
        </w:rPr>
        <w:lastRenderedPageBreak/>
        <w:t>二、间质性肺病临床路径表单</w:t>
      </w:r>
    </w:p>
    <w:p w:rsidR="00BE5A66" w:rsidRDefault="00F8375C" w:rsidP="00DD28E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</w:t>
      </w:r>
      <w:r>
        <w:rPr>
          <w:rFonts w:ascii="宋体" w:hAnsi="宋体" w:hint="eastAsia"/>
          <w:b/>
          <w:szCs w:val="21"/>
        </w:rPr>
        <w:t>第一诊断为</w:t>
      </w:r>
      <w:r>
        <w:rPr>
          <w:rFonts w:ascii="宋体" w:hAnsi="宋体" w:hint="eastAsia"/>
          <w:szCs w:val="21"/>
        </w:rPr>
        <w:t>间质性肺病(ICD-10：</w:t>
      </w:r>
      <w:r>
        <w:rPr>
          <w:rFonts w:ascii="宋体" w:hAnsi="宋体"/>
          <w:szCs w:val="21"/>
        </w:rPr>
        <w:t>J84</w:t>
      </w:r>
      <w:r>
        <w:rPr>
          <w:rFonts w:ascii="宋体" w:hAnsi="宋体" w:hint="eastAsia"/>
          <w:szCs w:val="21"/>
        </w:rPr>
        <w:t>.900)</w:t>
      </w:r>
    </w:p>
    <w:p w:rsidR="00437D77" w:rsidRPr="004F39B5" w:rsidRDefault="00437D77" w:rsidP="00DD28E1">
      <w:pPr>
        <w:snapToGrid w:val="0"/>
        <w:rPr>
          <w:rFonts w:ascii="宋体" w:hAnsi="宋体"/>
          <w:color w:val="000000"/>
          <w:szCs w:val="21"/>
          <w:lang w:val="en-GB"/>
        </w:rPr>
      </w:pPr>
      <w:r w:rsidRPr="004F39B5">
        <w:rPr>
          <w:rFonts w:ascii="宋体" w:hAnsi="宋体"/>
          <w:color w:val="000000"/>
          <w:szCs w:val="21"/>
          <w:lang w:val="en-GB"/>
        </w:rPr>
        <w:t>患者姓名：性别：年龄</w:t>
      </w:r>
      <w:r w:rsidRPr="00C54BA4">
        <w:rPr>
          <w:rFonts w:ascii="宋体" w:hAnsi="宋体"/>
          <w:color w:val="000000"/>
          <w:szCs w:val="21"/>
          <w:lang w:val="en-GB"/>
        </w:rPr>
        <w:t>：</w:t>
      </w:r>
      <w:r w:rsidRPr="004F39B5">
        <w:rPr>
          <w:rFonts w:ascii="宋体" w:hAnsi="宋体"/>
          <w:color w:val="000000"/>
          <w:szCs w:val="21"/>
          <w:lang w:val="en-GB"/>
        </w:rPr>
        <w:t>门诊号： 住院号：</w:t>
      </w:r>
    </w:p>
    <w:p w:rsidR="00437D77" w:rsidRPr="00437D77" w:rsidRDefault="00437D77" w:rsidP="00DD28E1">
      <w:pPr>
        <w:snapToGrid w:val="0"/>
        <w:rPr>
          <w:rFonts w:ascii="宋体" w:hAnsi="宋体"/>
          <w:color w:val="000000"/>
          <w:szCs w:val="21"/>
          <w:lang w:val="en-GB"/>
        </w:rPr>
      </w:pPr>
      <w:r w:rsidRPr="004F39B5">
        <w:rPr>
          <w:rFonts w:ascii="宋体" w:hAnsi="宋体"/>
          <w:color w:val="000000"/>
          <w:szCs w:val="21"/>
          <w:lang w:val="en-GB"/>
        </w:rPr>
        <w:t>住院日期：年月日     出院日期：年月日   标准住院日</w:t>
      </w:r>
      <w:r>
        <w:rPr>
          <w:rFonts w:ascii="宋体" w:hAnsi="宋体" w:hint="eastAsia"/>
          <w:color w:val="000000"/>
          <w:szCs w:val="21"/>
          <w:lang w:val="en-GB"/>
        </w:rPr>
        <w:t>：</w:t>
      </w:r>
      <w:r>
        <w:rPr>
          <w:rFonts w:ascii="宋体" w:hAnsi="宋体" w:hint="eastAsia"/>
          <w:szCs w:val="21"/>
        </w:rPr>
        <w:t>7–14</w:t>
      </w:r>
      <w:r>
        <w:rPr>
          <w:rFonts w:ascii="宋体" w:hAnsi="宋体" w:hint="eastAsia"/>
          <w:color w:val="000000"/>
          <w:szCs w:val="21"/>
          <w:lang w:val="en-GB"/>
        </w:rPr>
        <w:t>日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455"/>
        <w:gridCol w:w="4475"/>
      </w:tblGrid>
      <w:tr w:rsidR="00BE5A66">
        <w:trPr>
          <w:jc w:val="center"/>
        </w:trPr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A66" w:rsidRPr="00E37EF7" w:rsidRDefault="00F8375C">
            <w:pPr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住院第1–3天</w:t>
            </w:r>
          </w:p>
        </w:tc>
        <w:tc>
          <w:tcPr>
            <w:tcW w:w="4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住院期间</w:t>
            </w:r>
          </w:p>
        </w:tc>
      </w:tr>
      <w:tr w:rsidR="00BE5A66">
        <w:trPr>
          <w:trHeight w:val="634"/>
          <w:jc w:val="center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D77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主</w:t>
            </w:r>
          </w:p>
          <w:p w:rsidR="00BE5A66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要</w:t>
            </w:r>
          </w:p>
          <w:p w:rsidR="00437D77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诊</w:t>
            </w:r>
          </w:p>
          <w:p w:rsidR="00BE5A66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疗</w:t>
            </w:r>
          </w:p>
          <w:p w:rsidR="00437D77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工</w:t>
            </w:r>
          </w:p>
          <w:p w:rsidR="00BE5A66" w:rsidRPr="00E37EF7" w:rsidRDefault="00F8375C" w:rsidP="00DD28E1">
            <w:pPr>
              <w:spacing w:line="24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44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询问病史及体格检查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进行病情初步评估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上级医师查房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开化验单，完成病历书写</w:t>
            </w:r>
          </w:p>
        </w:tc>
        <w:tc>
          <w:tcPr>
            <w:tcW w:w="44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上级医师查房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核查辅助检查的结果是否有异常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观察药物不良反应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住院医师书写病程记录</w:t>
            </w:r>
          </w:p>
        </w:tc>
      </w:tr>
      <w:tr w:rsidR="00BE5A66">
        <w:trPr>
          <w:trHeight w:val="4660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重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点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医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呼吸内科护理常规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一/二/三级护理（根据病情）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吸氧（必要时）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抗菌药物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祛痰剂、支气管舒张剂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抗氧化药物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糖皮质激素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免疫抑制剂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改善纤维化制剂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对症治疗药物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血常规、尿常规、大便常规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肝肾功能、电解质、血糖、血沉、CRP、感染性疾病筛查、血凝试验、血脂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风湿全套、病毒全套筛查、血管紧张素转化酶、血清蛋白电泳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胸正侧位片、心电图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血气分析、胸部高分辨CT、血培养、B超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根据患者情况进行：D–二聚体、肿瘤标志物、病原学检查、超声心动图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常规肺通气功能+弥散功能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对症处理</w:t>
            </w: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呼吸内科护理常规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一/二/三级护理（根据病情）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吸氧（必要时）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抗菌药物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祛痰剂、支气管舒张剂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抗氧化药物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糖皮质激素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免疫抑制剂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改善纤维化制剂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对症治疗药物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根据病情调整药物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对症处理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复查血常规、肝肾功能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胸片检查（必要时）</w:t>
            </w:r>
          </w:p>
          <w:p w:rsidR="00BE5A66" w:rsidRDefault="00F8375C" w:rsidP="00DD28E1">
            <w:pPr>
              <w:tabs>
                <w:tab w:val="left" w:pos="19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异常指标复查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支气管肺泡灌洗液检查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肺活检</w:t>
            </w:r>
          </w:p>
          <w:p w:rsidR="00BE5A66" w:rsidRDefault="00BE5A66" w:rsidP="00DD28E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E5A66">
        <w:trPr>
          <w:cantSplit/>
          <w:trHeight w:val="713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主要护理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工作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介绍病房环境、设施和设备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入院护理评估、护理计划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随时观察患者情况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静脉取血、用药指导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进行戒烟、戒酒的建议和教育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协助患者完成实验室检查及辅助检查</w:t>
            </w: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观察患者一般情况及病情变化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观察治疗效果及药物反应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疾病相关健康教育</w:t>
            </w:r>
          </w:p>
          <w:p w:rsidR="00BE5A66" w:rsidRDefault="00F8375C" w:rsidP="00DD28E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脱离过敏原及高危职业，替换疾病相关用药</w:t>
            </w:r>
          </w:p>
          <w:p w:rsidR="00BE5A66" w:rsidRDefault="00BE5A66" w:rsidP="00DD28E1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BE5A66" w:rsidRDefault="00BE5A66" w:rsidP="00DD28E1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BE5A66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病情变异记录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E5A66" w:rsidRDefault="00F8375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E5A66" w:rsidRDefault="00F8375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BE5A66">
        <w:trPr>
          <w:cantSplit/>
          <w:trHeight w:val="640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护士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5A66">
        <w:trPr>
          <w:trHeight w:val="645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lastRenderedPageBreak/>
              <w:t>医师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rPr>
                <w:szCs w:val="21"/>
              </w:rPr>
            </w:pP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rPr>
                <w:szCs w:val="21"/>
              </w:rPr>
            </w:pPr>
          </w:p>
        </w:tc>
      </w:tr>
    </w:tbl>
    <w:p w:rsidR="00437D77" w:rsidRDefault="00437D77">
      <w:pPr>
        <w:rPr>
          <w:szCs w:val="21"/>
        </w:rPr>
      </w:pPr>
    </w:p>
    <w:p w:rsidR="00437D77" w:rsidRDefault="00437D77">
      <w:pPr>
        <w:widowControl/>
        <w:jc w:val="left"/>
        <w:rPr>
          <w:szCs w:val="21"/>
        </w:rPr>
      </w:pPr>
    </w:p>
    <w:p w:rsidR="00BE5A66" w:rsidRDefault="00BE5A66">
      <w:pPr>
        <w:rPr>
          <w:szCs w:val="21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340"/>
        <w:gridCol w:w="4427"/>
      </w:tblGrid>
      <w:tr w:rsidR="00BE5A66">
        <w:trPr>
          <w:cantSplit/>
          <w:trHeight w:val="460"/>
          <w:jc w:val="center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出院前1–3天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出院日</w:t>
            </w:r>
          </w:p>
        </w:tc>
      </w:tr>
      <w:tr w:rsidR="00BE5A66">
        <w:trPr>
          <w:cantSplit/>
          <w:trHeight w:val="625"/>
          <w:jc w:val="center"/>
        </w:trPr>
        <w:tc>
          <w:tcPr>
            <w:tcW w:w="7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主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要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诊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疗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工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43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bCs/>
                <w:szCs w:val="21"/>
              </w:rPr>
              <w:t>上级医师</w:t>
            </w:r>
            <w:r>
              <w:rPr>
                <w:rFonts w:hint="eastAsia"/>
                <w:szCs w:val="21"/>
              </w:rPr>
              <w:t>查房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评估</w:t>
            </w:r>
            <w:r>
              <w:rPr>
                <w:szCs w:val="21"/>
              </w:rPr>
              <w:t>治疗</w:t>
            </w:r>
            <w:r>
              <w:rPr>
                <w:rFonts w:hint="eastAsia"/>
                <w:szCs w:val="21"/>
              </w:rPr>
              <w:t>效果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确定出院后治疗方案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完成上级医师查房</w:t>
            </w:r>
            <w:r>
              <w:rPr>
                <w:rFonts w:hint="eastAsia"/>
                <w:bCs/>
                <w:szCs w:val="21"/>
              </w:rPr>
              <w:t>记录</w:t>
            </w: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完成出院小结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向患者交待出院后注意事项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预约复诊日期</w:t>
            </w:r>
          </w:p>
          <w:p w:rsidR="00BE5A66" w:rsidRDefault="00BE5A66">
            <w:pPr>
              <w:rPr>
                <w:szCs w:val="21"/>
              </w:rPr>
            </w:pPr>
          </w:p>
        </w:tc>
      </w:tr>
      <w:tr w:rsidR="00BE5A66">
        <w:trPr>
          <w:cantSplit/>
          <w:trHeight w:val="62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重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点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医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呼吸内科护理常规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一/二/三级护理（根据病情）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吸氧（必要时）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抗菌药物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祛痰剂、支气管舒张剂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抗氧化药物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糖皮质激素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免疫抑制剂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改善纤维化制剂</w:t>
            </w:r>
          </w:p>
          <w:p w:rsidR="00BE5A66" w:rsidRDefault="00F8375C">
            <w:pPr>
              <w:tabs>
                <w:tab w:val="left" w:pos="19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对症治疗药物</w:t>
            </w:r>
          </w:p>
          <w:p w:rsidR="00BE5A66" w:rsidRDefault="00F8375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复查血常规、肝肾功能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复查胸片</w:t>
            </w:r>
            <w:r>
              <w:rPr>
                <w:rFonts w:hint="eastAsia"/>
                <w:szCs w:val="21"/>
              </w:rPr>
              <w:t>（必要时）</w:t>
            </w:r>
          </w:p>
          <w:p w:rsidR="00BE5A66" w:rsidRDefault="00F8375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根据需要，复查</w:t>
            </w:r>
            <w:r>
              <w:rPr>
                <w:rFonts w:ascii="宋体" w:hAnsi="宋体" w:hint="eastAsia"/>
                <w:szCs w:val="21"/>
              </w:rPr>
              <w:t>有关检查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出院医嘱：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出</w:t>
            </w:r>
            <w:r>
              <w:rPr>
                <w:rFonts w:hint="eastAsia"/>
                <w:szCs w:val="21"/>
              </w:rPr>
              <w:t>院带药</w:t>
            </w:r>
          </w:p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门诊随诊</w:t>
            </w:r>
          </w:p>
        </w:tc>
      </w:tr>
      <w:tr w:rsidR="00BE5A66">
        <w:trPr>
          <w:cantSplit/>
          <w:trHeight w:val="62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主要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护理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工作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观察患者</w:t>
            </w:r>
            <w:r>
              <w:rPr>
                <w:rFonts w:hint="eastAsia"/>
                <w:szCs w:val="21"/>
              </w:rPr>
              <w:t>一般情况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观察疗效、各种药物作用和副作用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恢复期生活和心理护理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出院准备指导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帮助患者办理出院手续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出院指导</w:t>
            </w:r>
          </w:p>
          <w:p w:rsidR="00BE5A66" w:rsidRDefault="00BE5A66">
            <w:pPr>
              <w:rPr>
                <w:szCs w:val="21"/>
              </w:rPr>
            </w:pPr>
          </w:p>
        </w:tc>
      </w:tr>
      <w:tr w:rsidR="00BE5A66">
        <w:trPr>
          <w:cantSplit/>
          <w:trHeight w:val="34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病情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变异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记录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E5A66" w:rsidRDefault="00F837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E5A66" w:rsidRDefault="00F8375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BE5A66">
        <w:trPr>
          <w:cantSplit/>
          <w:trHeight w:val="64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护士</w:t>
            </w:r>
          </w:p>
          <w:p w:rsidR="00BE5A66" w:rsidRPr="00E37EF7" w:rsidRDefault="00F8375C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jc w:val="center"/>
              <w:rPr>
                <w:szCs w:val="21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jc w:val="center"/>
              <w:rPr>
                <w:szCs w:val="21"/>
              </w:rPr>
            </w:pPr>
          </w:p>
        </w:tc>
      </w:tr>
      <w:tr w:rsidR="00BE5A66">
        <w:trPr>
          <w:trHeight w:val="64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医师</w:t>
            </w:r>
          </w:p>
          <w:p w:rsidR="00BE5A66" w:rsidRPr="00E37EF7" w:rsidRDefault="00F8375C">
            <w:pPr>
              <w:jc w:val="center"/>
              <w:rPr>
                <w:rFonts w:ascii="黑体" w:eastAsia="黑体" w:hAnsi="黑体"/>
                <w:szCs w:val="21"/>
              </w:rPr>
            </w:pPr>
            <w:r w:rsidRPr="00E37EF7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rPr>
                <w:szCs w:val="21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A66" w:rsidRDefault="00BE5A66">
            <w:pPr>
              <w:rPr>
                <w:szCs w:val="21"/>
              </w:rPr>
            </w:pPr>
          </w:p>
        </w:tc>
      </w:tr>
    </w:tbl>
    <w:p w:rsidR="00BE5A66" w:rsidRDefault="00BE5A66"/>
    <w:sectPr w:rsidR="00BE5A66" w:rsidSect="00BE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68" w:rsidRDefault="00A96B68" w:rsidP="00E377A7">
      <w:r>
        <w:separator/>
      </w:r>
    </w:p>
  </w:endnote>
  <w:endnote w:type="continuationSeparator" w:id="0">
    <w:p w:rsidR="00A96B68" w:rsidRDefault="00A96B68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68" w:rsidRDefault="00A96B68" w:rsidP="00E377A7">
      <w:r>
        <w:separator/>
      </w:r>
    </w:p>
  </w:footnote>
  <w:footnote w:type="continuationSeparator" w:id="0">
    <w:p w:rsidR="00A96B68" w:rsidRDefault="00A96B68" w:rsidP="00E3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A66"/>
    <w:rsid w:val="00233F4C"/>
    <w:rsid w:val="00234B19"/>
    <w:rsid w:val="0023558D"/>
    <w:rsid w:val="003E31A4"/>
    <w:rsid w:val="00437D77"/>
    <w:rsid w:val="004D5B88"/>
    <w:rsid w:val="00501895"/>
    <w:rsid w:val="00616D0F"/>
    <w:rsid w:val="007479C4"/>
    <w:rsid w:val="00755DCB"/>
    <w:rsid w:val="00A45623"/>
    <w:rsid w:val="00A96B68"/>
    <w:rsid w:val="00BE5A66"/>
    <w:rsid w:val="00D14EB2"/>
    <w:rsid w:val="00D81F0F"/>
    <w:rsid w:val="00DD28E1"/>
    <w:rsid w:val="00E377A7"/>
    <w:rsid w:val="00E37EF7"/>
    <w:rsid w:val="00E45736"/>
    <w:rsid w:val="00E75C8E"/>
    <w:rsid w:val="00F716B0"/>
    <w:rsid w:val="00F8375C"/>
    <w:rsid w:val="3141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A17193-CCFF-4BC2-AD17-A06F2CA0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next w:val="a"/>
    <w:link w:val="1Char"/>
    <w:qFormat/>
    <w:rsid w:val="00437D77"/>
    <w:pPr>
      <w:keepNext/>
      <w:keepLines/>
      <w:spacing w:beforeLines="250" w:afterLines="300"/>
      <w:jc w:val="center"/>
      <w:outlineLvl w:val="0"/>
    </w:pPr>
    <w:rPr>
      <w:rFonts w:ascii="Times New Roman" w:eastAsia="宋体" w:hAnsi="Times New Roman" w:cs="Times New Roman"/>
      <w:b/>
      <w:bCs/>
      <w:kern w:val="44"/>
      <w:sz w:val="56"/>
      <w:szCs w:val="44"/>
    </w:rPr>
  </w:style>
  <w:style w:type="paragraph" w:styleId="2">
    <w:name w:val="heading 2"/>
    <w:basedOn w:val="a"/>
    <w:next w:val="a"/>
    <w:link w:val="2Char"/>
    <w:qFormat/>
    <w:rsid w:val="00437D77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77A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3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77A7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qFormat/>
    <w:rsid w:val="00F716B0"/>
    <w:rPr>
      <w:b/>
      <w:bCs/>
    </w:rPr>
  </w:style>
  <w:style w:type="character" w:customStyle="1" w:styleId="1Char">
    <w:name w:val="标题 1 Char"/>
    <w:basedOn w:val="a0"/>
    <w:link w:val="1"/>
    <w:rsid w:val="00437D77"/>
    <w:rPr>
      <w:rFonts w:ascii="Times New Roman" w:eastAsia="宋体" w:hAnsi="Times New Roman" w:cs="Times New Roman"/>
      <w:b/>
      <w:bCs/>
      <w:kern w:val="44"/>
      <w:sz w:val="56"/>
      <w:szCs w:val="44"/>
    </w:rPr>
  </w:style>
  <w:style w:type="character" w:customStyle="1" w:styleId="2Char">
    <w:name w:val="标题 2 Char"/>
    <w:basedOn w:val="a0"/>
    <w:link w:val="2"/>
    <w:rsid w:val="00437D77"/>
    <w:rPr>
      <w:rFonts w:ascii="Arial" w:eastAsia="黑体" w:hAnsi="Arial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刘立煌</cp:lastModifiedBy>
  <cp:revision>12</cp:revision>
  <dcterms:created xsi:type="dcterms:W3CDTF">2016-11-01T01:46:00Z</dcterms:created>
  <dcterms:modified xsi:type="dcterms:W3CDTF">2016-11-28T08:30:00Z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