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15" w:rsidRDefault="00A13F97">
      <w:pPr>
        <w:jc w:val="center"/>
        <w:outlineLvl w:val="0"/>
        <w:rPr>
          <w:rFonts w:asciiTheme="majorEastAsia" w:eastAsiaTheme="majorEastAsia" w:hAnsiTheme="majorEastAsia"/>
          <w:b/>
          <w:sz w:val="44"/>
        </w:rPr>
      </w:pPr>
      <w:bookmarkStart w:id="0" w:name="_Toc459913595"/>
      <w:r>
        <w:rPr>
          <w:rFonts w:asciiTheme="majorEastAsia" w:eastAsiaTheme="majorEastAsia" w:hAnsiTheme="majorEastAsia" w:hint="eastAsia"/>
          <w:b/>
          <w:sz w:val="44"/>
        </w:rPr>
        <w:t>老年性黄斑变性临床路径</w:t>
      </w:r>
      <w:bookmarkEnd w:id="0"/>
    </w:p>
    <w:p w:rsidR="00532715" w:rsidRDefault="00F76978">
      <w:pPr>
        <w:jc w:val="center"/>
        <w:rPr>
          <w:rFonts w:ascii="仿宋_GB2312" w:eastAsia="仿宋_GB2312" w:hAnsi="宋体"/>
          <w:sz w:val="32"/>
          <w:szCs w:val="32"/>
        </w:rPr>
      </w:pPr>
      <w:r w:rsidRPr="00F76978">
        <w:rPr>
          <w:rFonts w:ascii="仿宋_GB2312" w:eastAsia="仿宋_GB2312" w:hAnsi="宋体" w:hint="eastAsia"/>
          <w:sz w:val="32"/>
          <w:szCs w:val="32"/>
        </w:rPr>
        <w:t>（2016年版）</w:t>
      </w:r>
    </w:p>
    <w:p w:rsidR="00DA0C41" w:rsidRPr="00F76978" w:rsidRDefault="00DA0C41">
      <w:pPr>
        <w:jc w:val="center"/>
        <w:rPr>
          <w:rFonts w:ascii="仿宋_GB2312" w:eastAsia="仿宋_GB2312" w:hAnsi="宋体" w:hint="eastAsia"/>
          <w:sz w:val="32"/>
          <w:szCs w:val="32"/>
        </w:rPr>
      </w:pPr>
      <w:bookmarkStart w:id="1" w:name="_GoBack"/>
      <w:bookmarkEnd w:id="1"/>
    </w:p>
    <w:p w:rsidR="00532715" w:rsidRPr="00F76978" w:rsidRDefault="00A13F97" w:rsidP="00CA6D52">
      <w:pPr>
        <w:spacing w:beforeLines="100" w:before="312"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F76978">
        <w:rPr>
          <w:rFonts w:ascii="黑体" w:eastAsia="黑体" w:hAnsi="宋体" w:hint="eastAsia"/>
          <w:sz w:val="32"/>
          <w:szCs w:val="32"/>
        </w:rPr>
        <w:t>一、老年性黄斑变性临床路径标准住院流程</w:t>
      </w:r>
    </w:p>
    <w:p w:rsidR="00532715" w:rsidRPr="00F76978" w:rsidRDefault="00A13F97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（一）适用对象。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第一诊断为老年性渗出性黄斑变性（或称老年性湿性黄斑变性）（ICD10：H35.305）</w:t>
      </w:r>
    </w:p>
    <w:p w:rsidR="00532715" w:rsidRPr="00F76978" w:rsidRDefault="00A13F97">
      <w:pPr>
        <w:spacing w:line="360" w:lineRule="auto"/>
        <w:ind w:firstLineChars="200" w:firstLine="600"/>
        <w:rPr>
          <w:rFonts w:ascii="仿宋_GB2312" w:eastAsia="仿宋_GB2312" w:hAnsiTheme="minorEastAsia"/>
          <w:spacing w:val="-10"/>
          <w:sz w:val="32"/>
          <w:szCs w:val="28"/>
        </w:rPr>
      </w:pPr>
      <w:r w:rsidRPr="00F76978">
        <w:rPr>
          <w:rFonts w:ascii="仿宋_GB2312" w:eastAsia="仿宋_GB2312" w:hAnsiTheme="minorEastAsia" w:hint="eastAsia"/>
          <w:spacing w:val="-10"/>
          <w:sz w:val="32"/>
          <w:szCs w:val="28"/>
        </w:rPr>
        <w:t>行玻璃体腔注药术（ICD-9-CM-3：14.79004）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（二）诊断依据。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根据《临床诊疗指南-眼科学分册》（中华医学会编著，人民卫生出版社）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1.症状：双眼可先后发病，视力下降迅速，视物变形，中心或周边视野出现暗点。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2.眼底改变：黄斑部玻璃膜疣融合，脉络膜新生血管，视网膜神经上皮及/或色素上皮有浆液及/或出血性脱离，视网膜下出血、渗出，晚期形成机化瘢痕。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（三）治疗方案的选择依据。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根据《临床技术操作规范-眼科学分册》（中华医学会编著，人民军医出版社）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1.诊断明确；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2.征得患者及家属的同意。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（四）标准住院日为</w:t>
      </w:r>
      <w:r w:rsidR="00BE4B3A" w:rsidRPr="00F76978">
        <w:rPr>
          <w:rFonts w:ascii="楷体_GB2312" w:eastAsia="楷体_GB2312" w:hAnsiTheme="minorEastAsia" w:hint="eastAsia"/>
          <w:b/>
          <w:sz w:val="32"/>
          <w:szCs w:val="28"/>
        </w:rPr>
        <w:t>1</w:t>
      </w:r>
      <w:r w:rsidRPr="00F76978">
        <w:rPr>
          <w:rFonts w:ascii="楷体_GB2312" w:eastAsia="楷体_GB2312" w:hAnsiTheme="minorEastAsia" w:hint="eastAsia"/>
          <w:b/>
          <w:sz w:val="32"/>
          <w:szCs w:val="28"/>
        </w:rPr>
        <w:t>-6天。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lastRenderedPageBreak/>
        <w:t>（五）进入路径标准。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1.第一诊断必须符合ICD10：H35.305老年性渗出性黄斑变性疾病编码；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2.当患者同时具有其他疾病诊断，如住院期间不需特殊处理也不影响第一诊断临床路径流程的实施时，可以进入路径。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（六）术前准备（术前评估）1-2天，所必须的检查项目。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 xml:space="preserve">1.检查裸眼视力及最佳矫正视力、眼压、眼底、泪道； 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2.感染性疾病筛查（包括乙肝、丙肝、艾滋病、梅毒）；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 xml:space="preserve">3.心电图； 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4.血常规、尿常规、凝血功能、血生化（包括肝肾功能、血脂、血糖）；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5.眼科检查：黄斑部OCT、荧光素眼底血管造影；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6.其他根据病情需要而定：胸部X光片、颈部血管彩超等。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（七）术前用药。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1.术前抗菌药物眼药，4次/日，用药1-</w:t>
      </w:r>
      <w:r w:rsidR="00BE4B3A" w:rsidRPr="00F76978">
        <w:rPr>
          <w:rFonts w:ascii="仿宋_GB2312" w:eastAsia="仿宋_GB2312" w:hAnsiTheme="minorEastAsia" w:hint="eastAsia"/>
          <w:sz w:val="32"/>
          <w:szCs w:val="28"/>
        </w:rPr>
        <w:t>3</w:t>
      </w:r>
      <w:r w:rsidRPr="00F76978">
        <w:rPr>
          <w:rFonts w:ascii="仿宋_GB2312" w:eastAsia="仿宋_GB2312" w:hAnsiTheme="minorEastAsia" w:hint="eastAsia"/>
          <w:sz w:val="32"/>
          <w:szCs w:val="28"/>
        </w:rPr>
        <w:t>天；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2.根据病情需要必要时应用活血化瘀和/或营养神经药物；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 xml:space="preserve">（八）手术日为入院第 </w:t>
      </w:r>
      <w:r w:rsidR="00BE4B3A" w:rsidRPr="00F76978">
        <w:rPr>
          <w:rFonts w:ascii="楷体_GB2312" w:eastAsia="楷体_GB2312" w:hAnsiTheme="minorEastAsia" w:hint="eastAsia"/>
          <w:b/>
          <w:sz w:val="32"/>
          <w:szCs w:val="28"/>
        </w:rPr>
        <w:t>1</w:t>
      </w:r>
      <w:r w:rsidRPr="00F76978">
        <w:rPr>
          <w:rFonts w:ascii="楷体_GB2312" w:eastAsia="楷体_GB2312" w:hAnsiTheme="minorEastAsia" w:hint="eastAsia"/>
          <w:b/>
          <w:sz w:val="32"/>
          <w:szCs w:val="28"/>
        </w:rPr>
        <w:t>-3天。</w:t>
      </w:r>
    </w:p>
    <w:p w:rsidR="00532715" w:rsidRPr="00F76978" w:rsidRDefault="00A13F97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1.麻醉方式：表面麻醉或球后/球周阻滞麻醉，必要时联</w:t>
      </w:r>
      <w:r w:rsidRPr="00F76978">
        <w:rPr>
          <w:rFonts w:ascii="仿宋_GB2312" w:eastAsia="仿宋_GB2312" w:hAnsiTheme="minorEastAsia" w:hint="eastAsia"/>
          <w:sz w:val="32"/>
          <w:szCs w:val="28"/>
        </w:rPr>
        <w:lastRenderedPageBreak/>
        <w:t xml:space="preserve">合神经阻滞麻醉；             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2.手术方式：玻璃体腔注药术；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3.眼内注射药物：抗新生血管药物和/或</w:t>
      </w:r>
      <w:r w:rsidR="00BE4B3A" w:rsidRPr="00F76978">
        <w:rPr>
          <w:rFonts w:ascii="仿宋_GB2312" w:eastAsia="仿宋_GB2312" w:hAnsiTheme="minorEastAsia" w:hint="eastAsia"/>
          <w:sz w:val="32"/>
          <w:szCs w:val="28"/>
        </w:rPr>
        <w:t>糖皮质激素</w:t>
      </w:r>
      <w:r w:rsidRPr="00F76978">
        <w:rPr>
          <w:rFonts w:ascii="仿宋_GB2312" w:eastAsia="仿宋_GB2312" w:hAnsiTheme="minorEastAsia" w:hint="eastAsia"/>
          <w:sz w:val="32"/>
          <w:szCs w:val="28"/>
        </w:rPr>
        <w:t xml:space="preserve">；                  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4.术中用耗品：一次性注射器；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 xml:space="preserve">5.手术用设备：必要时使用显微镜、眼科手术显微器械；                     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6.输血：无。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（九）术后住院恢复2-3天，必须复查的检查项目。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1.裂隙灯检查；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2.眼底检查；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3.视力；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4.眼压；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5.术后眼部用药：抗菌药物+类固醇激素+非甾体抗炎眼药；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6.根据病情需要必要时应用活血化瘀和/或营养神经药物；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（十）出院标准（围绕一般情况、切口情况、第一诊断转归）。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1.手术后反应较轻，病情稳定；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2.切口闭合好，无感染征象；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3.眼底检查无明显改变；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4.眼压正常，裂隙灯检查无明显异常。</w:t>
      </w:r>
    </w:p>
    <w:p w:rsidR="00532715" w:rsidRPr="00F76978" w:rsidRDefault="00A13F97" w:rsidP="00F76978">
      <w:pPr>
        <w:spacing w:line="360" w:lineRule="auto"/>
        <w:ind w:firstLineChars="200" w:firstLine="643"/>
        <w:rPr>
          <w:rFonts w:ascii="楷体_GB2312" w:eastAsia="楷体_GB2312" w:hAnsiTheme="minorEastAsia"/>
          <w:b/>
          <w:sz w:val="32"/>
          <w:szCs w:val="28"/>
        </w:rPr>
      </w:pPr>
      <w:r w:rsidRPr="00F76978">
        <w:rPr>
          <w:rFonts w:ascii="楷体_GB2312" w:eastAsia="楷体_GB2312" w:hAnsiTheme="minorEastAsia" w:hint="eastAsia"/>
          <w:b/>
          <w:sz w:val="32"/>
          <w:szCs w:val="28"/>
        </w:rPr>
        <w:t>（十一）有无变异及原因分析。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lastRenderedPageBreak/>
        <w:t>1.等待术前检验结果；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2.术后炎症反应或并发症；</w:t>
      </w:r>
    </w:p>
    <w:p w:rsidR="00532715" w:rsidRPr="00F76978" w:rsidRDefault="00A13F97" w:rsidP="00F76978">
      <w:pPr>
        <w:spacing w:line="360" w:lineRule="auto"/>
        <w:ind w:leftChars="266" w:left="559"/>
        <w:rPr>
          <w:rFonts w:ascii="仿宋_GB2312" w:eastAsia="仿宋_GB2312" w:hAnsiTheme="minorEastAsia"/>
          <w:sz w:val="32"/>
          <w:szCs w:val="28"/>
        </w:rPr>
      </w:pPr>
      <w:r w:rsidRPr="00F76978">
        <w:rPr>
          <w:rFonts w:ascii="仿宋_GB2312" w:eastAsia="仿宋_GB2312" w:hAnsiTheme="minorEastAsia" w:hint="eastAsia"/>
          <w:sz w:val="32"/>
          <w:szCs w:val="28"/>
        </w:rPr>
        <w:t>3.患者其他原因。</w:t>
      </w:r>
    </w:p>
    <w:p w:rsidR="00532715" w:rsidRDefault="00A13F97" w:rsidP="00B625F8">
      <w:pPr>
        <w:spacing w:line="360" w:lineRule="auto"/>
        <w:rPr>
          <w:rFonts w:ascii="黑体" w:eastAsia="黑体" w:hAnsi="宋体"/>
          <w:sz w:val="28"/>
          <w:szCs w:val="28"/>
        </w:rPr>
      </w:pPr>
      <w:r w:rsidRPr="00F76978">
        <w:rPr>
          <w:rFonts w:ascii="仿宋_GB2312" w:eastAsia="仿宋_GB2312" w:hAnsiTheme="minorEastAsia"/>
          <w:sz w:val="32"/>
          <w:szCs w:val="28"/>
        </w:rPr>
        <w:br w:type="page"/>
      </w:r>
      <w:r w:rsidRPr="00F76978">
        <w:rPr>
          <w:rFonts w:ascii="黑体" w:eastAsia="黑体" w:hAnsi="宋体" w:hint="eastAsia"/>
          <w:sz w:val="32"/>
          <w:szCs w:val="28"/>
        </w:rPr>
        <w:lastRenderedPageBreak/>
        <w:t>二、老年性黄斑变性临床路径表单</w:t>
      </w:r>
    </w:p>
    <w:p w:rsidR="00532715" w:rsidRDefault="00A13F97" w:rsidP="00F76978">
      <w:pPr>
        <w:rPr>
          <w:szCs w:val="21"/>
        </w:rPr>
      </w:pPr>
      <w:r>
        <w:rPr>
          <w:rFonts w:hint="eastAsia"/>
          <w:szCs w:val="21"/>
        </w:rPr>
        <w:t>适用对象：</w:t>
      </w:r>
      <w:r>
        <w:rPr>
          <w:rFonts w:hint="eastAsia"/>
          <w:b/>
          <w:szCs w:val="21"/>
        </w:rPr>
        <w:t>第一诊断为</w:t>
      </w:r>
      <w:r>
        <w:rPr>
          <w:rFonts w:hint="eastAsia"/>
          <w:szCs w:val="21"/>
        </w:rPr>
        <w:t>老年性渗出性黄斑变性</w:t>
      </w:r>
      <w:r>
        <w:rPr>
          <w:szCs w:val="21"/>
        </w:rPr>
        <w:t>（</w:t>
      </w:r>
      <w:r>
        <w:rPr>
          <w:szCs w:val="21"/>
        </w:rPr>
        <w:t>ICD10</w:t>
      </w:r>
      <w:r>
        <w:rPr>
          <w:szCs w:val="21"/>
        </w:rPr>
        <w:t>：</w:t>
      </w:r>
      <w:r>
        <w:rPr>
          <w:szCs w:val="21"/>
        </w:rPr>
        <w:t>H</w:t>
      </w:r>
      <w:r>
        <w:rPr>
          <w:rFonts w:hint="eastAsia"/>
          <w:szCs w:val="21"/>
        </w:rPr>
        <w:t>3</w:t>
      </w:r>
      <w:r>
        <w:rPr>
          <w:szCs w:val="21"/>
        </w:rPr>
        <w:t>5.</w:t>
      </w:r>
      <w:r>
        <w:rPr>
          <w:rFonts w:hint="eastAsia"/>
          <w:szCs w:val="21"/>
        </w:rPr>
        <w:t>305</w:t>
      </w:r>
      <w:r>
        <w:rPr>
          <w:szCs w:val="21"/>
        </w:rPr>
        <w:t>）</w:t>
      </w:r>
    </w:p>
    <w:p w:rsidR="00532715" w:rsidRDefault="00A13F97" w:rsidP="00F7697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行</w:t>
      </w:r>
      <w:r>
        <w:rPr>
          <w:rFonts w:hint="eastAsia"/>
          <w:spacing w:val="-10"/>
          <w:szCs w:val="21"/>
        </w:rPr>
        <w:t>玻璃体腔注药术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ICD-9-CM-3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14.79004</w:t>
      </w:r>
      <w:r>
        <w:rPr>
          <w:rFonts w:hint="eastAsia"/>
          <w:szCs w:val="21"/>
        </w:rPr>
        <w:t>）</w:t>
      </w:r>
    </w:p>
    <w:p w:rsidR="00532715" w:rsidRDefault="00A13F97" w:rsidP="00F76978">
      <w:pPr>
        <w:rPr>
          <w:szCs w:val="21"/>
          <w:u w:val="single"/>
        </w:rPr>
      </w:pPr>
      <w:r>
        <w:rPr>
          <w:rFonts w:hint="eastAsia"/>
          <w:szCs w:val="21"/>
        </w:rPr>
        <w:t>患者姓名：性别：年龄：门诊号：住院号：</w:t>
      </w:r>
    </w:p>
    <w:p w:rsidR="00532715" w:rsidRDefault="00A13F97" w:rsidP="00F76978">
      <w:pPr>
        <w:rPr>
          <w:rFonts w:hAnsi="宋体"/>
          <w:szCs w:val="21"/>
        </w:rPr>
      </w:pPr>
      <w:r>
        <w:rPr>
          <w:rFonts w:hint="eastAsia"/>
          <w:szCs w:val="21"/>
        </w:rPr>
        <w:t>住院日期：</w:t>
      </w:r>
      <w:r>
        <w:rPr>
          <w:rFonts w:hAnsi="宋体" w:hint="eastAsia"/>
          <w:szCs w:val="21"/>
        </w:rPr>
        <w:t>年月日</w:t>
      </w:r>
      <w:r>
        <w:rPr>
          <w:rFonts w:hint="eastAsia"/>
          <w:szCs w:val="21"/>
        </w:rPr>
        <w:t>出院日期：</w:t>
      </w:r>
      <w:r>
        <w:rPr>
          <w:rFonts w:hAnsi="宋体" w:hint="eastAsia"/>
          <w:szCs w:val="21"/>
        </w:rPr>
        <w:t>年月日</w:t>
      </w:r>
      <w:r>
        <w:rPr>
          <w:rFonts w:hint="eastAsia"/>
          <w:szCs w:val="21"/>
        </w:rPr>
        <w:t>标准住院日</w:t>
      </w:r>
      <w:r w:rsidR="00BE4B3A">
        <w:rPr>
          <w:rFonts w:hint="eastAsia"/>
          <w:szCs w:val="21"/>
        </w:rPr>
        <w:t>1</w:t>
      </w:r>
      <w:r>
        <w:rPr>
          <w:rFonts w:hint="eastAsia"/>
          <w:szCs w:val="21"/>
        </w:rPr>
        <w:t>-6</w:t>
      </w:r>
      <w:r>
        <w:rPr>
          <w:rFonts w:hAnsi="宋体" w:hint="eastAsia"/>
          <w:szCs w:val="21"/>
        </w:rPr>
        <w:t>天</w:t>
      </w:r>
    </w:p>
    <w:p w:rsidR="00532715" w:rsidRDefault="00532715">
      <w:pPr>
        <w:rPr>
          <w:szCs w:val="21"/>
        </w:rPr>
      </w:pPr>
    </w:p>
    <w:tbl>
      <w:tblPr>
        <w:tblW w:w="1016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849"/>
        <w:gridCol w:w="1025"/>
        <w:gridCol w:w="1025"/>
        <w:gridCol w:w="1025"/>
        <w:gridCol w:w="1031"/>
        <w:gridCol w:w="1031"/>
        <w:gridCol w:w="1032"/>
        <w:gridCol w:w="1047"/>
        <w:gridCol w:w="1047"/>
        <w:gridCol w:w="1048"/>
      </w:tblGrid>
      <w:tr w:rsidR="00532715">
        <w:trPr>
          <w:trHeight w:val="450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住院第1天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住院第</w:t>
            </w:r>
            <w:r w:rsidR="00BE4B3A">
              <w:rPr>
                <w:rFonts w:ascii="黑体" w:eastAsia="黑体" w:cs="宋体" w:hint="eastAsia"/>
                <w:szCs w:val="21"/>
              </w:rPr>
              <w:t>1-</w:t>
            </w:r>
            <w:r>
              <w:rPr>
                <w:rFonts w:ascii="黑体" w:eastAsia="黑体" w:cs="宋体" w:hint="eastAsia"/>
                <w:szCs w:val="21"/>
              </w:rPr>
              <w:t>2天</w:t>
            </w:r>
          </w:p>
        </w:tc>
        <w:tc>
          <w:tcPr>
            <w:tcW w:w="31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住院第</w:t>
            </w:r>
            <w:r w:rsidR="00BE4B3A">
              <w:rPr>
                <w:rFonts w:ascii="黑体" w:eastAsia="黑体" w:cs="宋体" w:hint="eastAsia"/>
                <w:szCs w:val="21"/>
              </w:rPr>
              <w:t>1</w:t>
            </w:r>
            <w:r>
              <w:rPr>
                <w:rFonts w:ascii="黑体" w:eastAsia="黑体" w:cs="宋体" w:hint="eastAsia"/>
                <w:szCs w:val="21"/>
              </w:rPr>
              <w:t>-3天（手术日）</w:t>
            </w:r>
          </w:p>
        </w:tc>
      </w:tr>
      <w:tr w:rsidR="00532715">
        <w:trPr>
          <w:trHeight w:val="2198"/>
        </w:trPr>
        <w:tc>
          <w:tcPr>
            <w:tcW w:w="8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主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要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诊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疗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工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作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询问病史</w:t>
            </w:r>
          </w:p>
          <w:p w:rsidR="00532715" w:rsidRDefault="00A13F97" w:rsidP="00F76978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体格检查</w:t>
            </w:r>
          </w:p>
          <w:p w:rsidR="00532715" w:rsidRDefault="00A13F97" w:rsidP="00F76978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交代病情</w:t>
            </w:r>
          </w:p>
          <w:p w:rsidR="00532715" w:rsidRDefault="00A13F97" w:rsidP="00F76978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完成“首次病程记录”和“住院病历”</w:t>
            </w:r>
          </w:p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核实各项检查结果正常</w:t>
            </w:r>
          </w:p>
          <w:p w:rsidR="00532715" w:rsidRDefault="00A13F97" w:rsidP="00F76978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上级医师查房与术前评估</w:t>
            </w:r>
          </w:p>
          <w:p w:rsidR="00532715" w:rsidRDefault="00A13F97" w:rsidP="00F76978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向患者及家属交待术前、术中和术后注意事项</w:t>
            </w:r>
          </w:p>
          <w:p w:rsidR="00532715" w:rsidRDefault="00A13F97" w:rsidP="00F76978">
            <w:pPr>
              <w:pStyle w:val="1"/>
              <w:widowControl w:val="0"/>
              <w:numPr>
                <w:ilvl w:val="0"/>
                <w:numId w:val="2"/>
              </w:numPr>
              <w:adjustRightInd/>
              <w:snapToGrid/>
              <w:spacing w:after="0" w:line="260" w:lineRule="exact"/>
              <w:ind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签署“手术知情同意书”及“</w:t>
            </w:r>
            <w:r>
              <w:rPr>
                <w:rFonts w:ascii="宋体" w:hAnsi="宋体" w:hint="eastAsia"/>
                <w:szCs w:val="21"/>
              </w:rPr>
              <w:t>自费用品协议书”</w:t>
            </w:r>
          </w:p>
          <w:p w:rsidR="00532715" w:rsidRDefault="00532715" w:rsidP="00F76978">
            <w:pPr>
              <w:numPr>
                <w:ilvl w:val="0"/>
                <w:numId w:val="3"/>
              </w:numPr>
              <w:snapToGrid w:val="0"/>
              <w:spacing w:line="260" w:lineRule="exact"/>
              <w:ind w:left="0"/>
              <w:rPr>
                <w:szCs w:val="21"/>
              </w:rPr>
            </w:pPr>
          </w:p>
        </w:tc>
        <w:tc>
          <w:tcPr>
            <w:tcW w:w="314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术前再次确认患者姓名、性别、年龄和手术眼别</w:t>
            </w:r>
          </w:p>
          <w:p w:rsidR="00532715" w:rsidRDefault="00A13F97" w:rsidP="00F76978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实施手术</w:t>
            </w:r>
          </w:p>
          <w:p w:rsidR="00532715" w:rsidRDefault="00A13F97" w:rsidP="00F76978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完成“手术记录”</w:t>
            </w:r>
          </w:p>
          <w:p w:rsidR="00532715" w:rsidRDefault="00A13F97" w:rsidP="00F76978">
            <w:pPr>
              <w:numPr>
                <w:ilvl w:val="0"/>
                <w:numId w:val="4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向患者及其家属交待手术后注意事项</w:t>
            </w:r>
          </w:p>
        </w:tc>
      </w:tr>
      <w:tr w:rsidR="00532715">
        <w:trPr>
          <w:trHeight w:val="3661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532715" w:rsidRDefault="00A13F97" w:rsidP="00F76978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眼科Ⅱ级护理</w:t>
            </w:r>
            <w:r w:rsidR="00BE4B3A"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Ⅲ级护理</w:t>
            </w:r>
          </w:p>
          <w:p w:rsidR="00532715" w:rsidRDefault="00A13F97" w:rsidP="00F76978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抗菌药物眼药点术眼（</w:t>
            </w:r>
            <w:r>
              <w:rPr>
                <w:rFonts w:hint="eastAsia"/>
                <w:spacing w:val="-10"/>
                <w:szCs w:val="21"/>
              </w:rPr>
              <w:t>4-8</w:t>
            </w:r>
            <w:r>
              <w:rPr>
                <w:rFonts w:hint="eastAsia"/>
                <w:spacing w:val="-10"/>
                <w:szCs w:val="21"/>
              </w:rPr>
              <w:t>次</w:t>
            </w:r>
            <w:r>
              <w:rPr>
                <w:rFonts w:hint="eastAsia"/>
                <w:spacing w:val="-10"/>
                <w:szCs w:val="21"/>
              </w:rPr>
              <w:t>/</w:t>
            </w:r>
            <w:r>
              <w:rPr>
                <w:rFonts w:hint="eastAsia"/>
                <w:spacing w:val="-10"/>
                <w:szCs w:val="21"/>
              </w:rPr>
              <w:t>日）</w:t>
            </w:r>
          </w:p>
          <w:p w:rsidR="00532715" w:rsidRDefault="00A13F97" w:rsidP="00F76978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必要时应用活血化瘀和</w:t>
            </w:r>
            <w:r>
              <w:rPr>
                <w:rFonts w:hint="eastAsia"/>
                <w:spacing w:val="-10"/>
                <w:szCs w:val="21"/>
              </w:rPr>
              <w:t>/</w:t>
            </w:r>
            <w:r>
              <w:rPr>
                <w:rFonts w:hint="eastAsia"/>
                <w:spacing w:val="-10"/>
                <w:szCs w:val="21"/>
              </w:rPr>
              <w:t>或营养神经药物</w:t>
            </w:r>
          </w:p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532715" w:rsidRDefault="00A13F97" w:rsidP="00F76978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血尿常规</w:t>
            </w:r>
          </w:p>
          <w:p w:rsidR="00532715" w:rsidRDefault="00A13F97" w:rsidP="00F76978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感染性疾病筛查（包括乙肝、丙肝、艾滋病、梅毒）</w:t>
            </w:r>
          </w:p>
          <w:p w:rsidR="00532715" w:rsidRDefault="00A13F97" w:rsidP="00F76978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血生化检查</w:t>
            </w:r>
          </w:p>
          <w:p w:rsidR="00532715" w:rsidRDefault="00A13F97" w:rsidP="00F76978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凝血功能检查</w:t>
            </w:r>
          </w:p>
          <w:p w:rsidR="00532715" w:rsidRDefault="00A13F97" w:rsidP="00F76978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</w:t>
            </w:r>
          </w:p>
          <w:p w:rsidR="00532715" w:rsidRDefault="00A13F97" w:rsidP="00F76978">
            <w:pPr>
              <w:numPr>
                <w:ilvl w:val="0"/>
                <w:numId w:val="6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黄斑</w:t>
            </w:r>
            <w:r>
              <w:rPr>
                <w:rFonts w:hint="eastAsia"/>
                <w:szCs w:val="21"/>
              </w:rPr>
              <w:t>OCT</w:t>
            </w:r>
            <w:r>
              <w:rPr>
                <w:rFonts w:hint="eastAsia"/>
                <w:szCs w:val="21"/>
              </w:rPr>
              <w:t>、荧光素眼底血管造影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532715" w:rsidRDefault="00A13F97" w:rsidP="00F76978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眼科Ⅱ级护理</w:t>
            </w:r>
            <w:r w:rsidR="00BE4B3A"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Ⅲ级护理</w:t>
            </w:r>
          </w:p>
          <w:p w:rsidR="00532715" w:rsidRDefault="00A13F97" w:rsidP="00F76978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抗菌药物眼药点术眼（</w:t>
            </w:r>
            <w:r>
              <w:rPr>
                <w:rFonts w:hint="eastAsia"/>
                <w:spacing w:val="-10"/>
                <w:szCs w:val="21"/>
              </w:rPr>
              <w:t>4-8</w:t>
            </w:r>
            <w:r>
              <w:rPr>
                <w:rFonts w:hint="eastAsia"/>
                <w:spacing w:val="-10"/>
                <w:szCs w:val="21"/>
              </w:rPr>
              <w:t>次</w:t>
            </w:r>
            <w:r>
              <w:rPr>
                <w:rFonts w:hint="eastAsia"/>
                <w:spacing w:val="-10"/>
                <w:szCs w:val="21"/>
              </w:rPr>
              <w:t>/</w:t>
            </w:r>
            <w:r>
              <w:rPr>
                <w:rFonts w:hint="eastAsia"/>
                <w:spacing w:val="-10"/>
                <w:szCs w:val="21"/>
              </w:rPr>
              <w:t>日）</w:t>
            </w:r>
          </w:p>
          <w:p w:rsidR="00532715" w:rsidRDefault="00A13F97" w:rsidP="00F76978">
            <w:pPr>
              <w:numPr>
                <w:ilvl w:val="0"/>
                <w:numId w:val="5"/>
              </w:numPr>
              <w:snapToGrid w:val="0"/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必要时应用活血化瘀和</w:t>
            </w:r>
            <w:r>
              <w:rPr>
                <w:rFonts w:hint="eastAsia"/>
                <w:spacing w:val="-10"/>
                <w:szCs w:val="21"/>
              </w:rPr>
              <w:t>/</w:t>
            </w:r>
            <w:r>
              <w:rPr>
                <w:rFonts w:hint="eastAsia"/>
                <w:spacing w:val="-10"/>
                <w:szCs w:val="21"/>
              </w:rPr>
              <w:t>或营养神经药物</w:t>
            </w:r>
          </w:p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临时医嘱（术前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天）：</w:t>
            </w:r>
          </w:p>
          <w:p w:rsidR="00532715" w:rsidRDefault="00A13F97" w:rsidP="00F76978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拟于明日在表面麻醉下行</w:t>
            </w:r>
            <w:r>
              <w:rPr>
                <w:rFonts w:ascii="宋体" w:hAnsi="宋体" w:cs="宋体" w:hint="eastAsia"/>
                <w:szCs w:val="21"/>
              </w:rPr>
              <w:t>左/右眼</w:t>
            </w:r>
            <w:r>
              <w:rPr>
                <w:rFonts w:ascii="宋体" w:hAnsi="宋体" w:hint="eastAsia"/>
                <w:szCs w:val="21"/>
              </w:rPr>
              <w:t>玻璃体腔注药手术</w:t>
            </w:r>
          </w:p>
          <w:p w:rsidR="00532715" w:rsidRDefault="00BE4B3A" w:rsidP="00F76978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</w:t>
            </w:r>
            <w:r w:rsidR="00A13F97">
              <w:rPr>
                <w:rFonts w:hint="eastAsia"/>
                <w:szCs w:val="21"/>
              </w:rPr>
              <w:t>术前</w:t>
            </w:r>
            <w:r w:rsidR="00A13F97">
              <w:rPr>
                <w:rFonts w:hint="eastAsia"/>
                <w:szCs w:val="21"/>
              </w:rPr>
              <w:t>30</w:t>
            </w:r>
            <w:r w:rsidR="00A13F97">
              <w:rPr>
                <w:rFonts w:hint="eastAsia"/>
                <w:szCs w:val="21"/>
              </w:rPr>
              <w:t>分钟术眼滴散瞳眼药</w:t>
            </w:r>
            <w:r w:rsidR="00A13F97">
              <w:rPr>
                <w:rFonts w:hint="eastAsia"/>
                <w:szCs w:val="21"/>
              </w:rPr>
              <w:t>2</w:t>
            </w:r>
            <w:r w:rsidR="00A13F97">
              <w:rPr>
                <w:rFonts w:hint="eastAsia"/>
                <w:szCs w:val="21"/>
              </w:rPr>
              <w:t>次（浅前房患者不散瞳）</w:t>
            </w:r>
          </w:p>
          <w:p w:rsidR="00532715" w:rsidRDefault="00A13F97" w:rsidP="00F76978">
            <w:pPr>
              <w:numPr>
                <w:ilvl w:val="0"/>
                <w:numId w:val="7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术前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分钟术眼滴表麻药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  <w:r w:rsidR="00D4692F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2 \* ROMAN </w:instrText>
            </w:r>
            <w:r w:rsidR="00D4692F">
              <w:rPr>
                <w:szCs w:val="21"/>
              </w:rPr>
              <w:fldChar w:fldCharType="separate"/>
            </w:r>
            <w:r>
              <w:rPr>
                <w:szCs w:val="21"/>
              </w:rPr>
              <w:t>II</w:t>
            </w:r>
            <w:r w:rsidR="00D4692F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级护理</w:t>
            </w:r>
            <w:r w:rsidR="00BE4B3A">
              <w:rPr>
                <w:rFonts w:hint="eastAsia"/>
                <w:szCs w:val="21"/>
              </w:rPr>
              <w:t>或Ⅲ级护理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或营养神经药物</w:t>
            </w:r>
          </w:p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532715" w:rsidRDefault="00A13F97" w:rsidP="00F76978">
            <w:pPr>
              <w:pStyle w:val="1"/>
              <w:numPr>
                <w:ilvl w:val="0"/>
                <w:numId w:val="9"/>
              </w:numPr>
              <w:spacing w:after="0" w:line="260" w:lineRule="exact"/>
              <w:ind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预防性抗菌药物使用</w:t>
            </w:r>
          </w:p>
          <w:p w:rsidR="00532715" w:rsidRDefault="00A13F97" w:rsidP="00F76978">
            <w:pPr>
              <w:numPr>
                <w:ilvl w:val="0"/>
                <w:numId w:val="9"/>
              </w:numPr>
              <w:snapToGrid w:val="0"/>
              <w:spacing w:line="260" w:lineRule="exact"/>
              <w:rPr>
                <w:rFonts w:cs="宋体"/>
                <w:szCs w:val="21"/>
                <w:u w:val="single"/>
              </w:rPr>
            </w:pPr>
            <w:r>
              <w:rPr>
                <w:rFonts w:cs="宋体" w:hint="eastAsia"/>
                <w:szCs w:val="21"/>
              </w:rPr>
              <w:t>根据病情需要制定（眼压高患者加用降眼压药物控制眼压）</w:t>
            </w:r>
          </w:p>
        </w:tc>
      </w:tr>
      <w:tr w:rsidR="00532715">
        <w:trPr>
          <w:trHeight w:val="683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10"/>
              </w:numPr>
              <w:snapToGrid w:val="0"/>
              <w:spacing w:line="260" w:lineRule="exact"/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入院护理评估</w:t>
            </w:r>
          </w:p>
          <w:p w:rsidR="00532715" w:rsidRDefault="00A13F97" w:rsidP="00F76978">
            <w:pPr>
              <w:numPr>
                <w:ilvl w:val="0"/>
                <w:numId w:val="11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健康教育</w:t>
            </w:r>
          </w:p>
          <w:p w:rsidR="00532715" w:rsidRDefault="00A13F97" w:rsidP="00F76978">
            <w:pPr>
              <w:numPr>
                <w:ilvl w:val="0"/>
                <w:numId w:val="11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执行医嘱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手术前物品准备</w:t>
            </w:r>
          </w:p>
          <w:p w:rsidR="00532715" w:rsidRDefault="00A13F97" w:rsidP="00F76978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手术前心理护理</w:t>
            </w:r>
          </w:p>
          <w:p w:rsidR="00532715" w:rsidRDefault="00A13F97" w:rsidP="00F76978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手术前患者准备</w:t>
            </w:r>
          </w:p>
          <w:p w:rsidR="00532715" w:rsidRDefault="00A13F97" w:rsidP="00F76978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执行医嘱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随时观察患者情况</w:t>
            </w:r>
          </w:p>
          <w:p w:rsidR="00532715" w:rsidRDefault="00A13F97" w:rsidP="00F76978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术前冲洗结膜囊、泪道</w:t>
            </w:r>
          </w:p>
          <w:p w:rsidR="00532715" w:rsidRDefault="00A13F97" w:rsidP="00F76978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术后心理与基础护理</w:t>
            </w:r>
          </w:p>
          <w:p w:rsidR="00532715" w:rsidRDefault="00A13F97" w:rsidP="00F76978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执行医嘱</w:t>
            </w:r>
          </w:p>
          <w:p w:rsidR="00532715" w:rsidRDefault="00A13F97" w:rsidP="00F76978">
            <w:pPr>
              <w:numPr>
                <w:ilvl w:val="0"/>
                <w:numId w:val="13"/>
              </w:num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术后健康教育</w:t>
            </w:r>
          </w:p>
        </w:tc>
      </w:tr>
      <w:tr w:rsidR="00532715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病情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变异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记录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□无  □有，原因：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□无 □有，原因：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□无  □有，原因：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</w:p>
        </w:tc>
      </w:tr>
      <w:tr w:rsidR="00532715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护士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大夜班</w:t>
            </w:r>
          </w:p>
        </w:tc>
      </w:tr>
      <w:tr w:rsidR="00532715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rFonts w:ascii="黑体" w:eastAsia="黑体" w:cs="宋体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532715">
        <w:trPr>
          <w:trHeight w:val="65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医师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</w:tbl>
    <w:p w:rsidR="00532715" w:rsidRDefault="00532715" w:rsidP="00F76978">
      <w:pPr>
        <w:spacing w:line="260" w:lineRule="exact"/>
        <w:rPr>
          <w:szCs w:val="21"/>
        </w:rPr>
      </w:pPr>
    </w:p>
    <w:p w:rsidR="00CA6D52" w:rsidRDefault="00CA6D52" w:rsidP="00F76978">
      <w:pPr>
        <w:spacing w:line="260" w:lineRule="exact"/>
        <w:rPr>
          <w:szCs w:val="21"/>
        </w:rPr>
      </w:pPr>
    </w:p>
    <w:p w:rsidR="00CA6D52" w:rsidRDefault="00CA6D52" w:rsidP="00F76978">
      <w:pPr>
        <w:spacing w:line="260" w:lineRule="exact"/>
        <w:rPr>
          <w:szCs w:val="21"/>
        </w:rPr>
      </w:pPr>
    </w:p>
    <w:p w:rsidR="00CA6D52" w:rsidRDefault="00CA6D52" w:rsidP="00F76978">
      <w:pPr>
        <w:spacing w:line="260" w:lineRule="exact"/>
        <w:rPr>
          <w:szCs w:val="21"/>
        </w:rPr>
      </w:pPr>
    </w:p>
    <w:p w:rsidR="00CA6D52" w:rsidRDefault="00CA6D52" w:rsidP="00F76978">
      <w:pPr>
        <w:spacing w:line="260" w:lineRule="exact"/>
        <w:rPr>
          <w:szCs w:val="21"/>
        </w:rPr>
      </w:pPr>
    </w:p>
    <w:tbl>
      <w:tblPr>
        <w:tblW w:w="10289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994"/>
        <w:gridCol w:w="994"/>
        <w:gridCol w:w="994"/>
        <w:gridCol w:w="1054"/>
        <w:gridCol w:w="1054"/>
        <w:gridCol w:w="1055"/>
        <w:gridCol w:w="1094"/>
        <w:gridCol w:w="1095"/>
        <w:gridCol w:w="1095"/>
      </w:tblGrid>
      <w:tr w:rsidR="00532715">
        <w:trPr>
          <w:trHeight w:val="594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lastRenderedPageBreak/>
              <w:t>时间</w:t>
            </w:r>
          </w:p>
        </w:tc>
        <w:tc>
          <w:tcPr>
            <w:tcW w:w="29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住院</w:t>
            </w:r>
            <w:r w:rsidR="00BE4B3A">
              <w:rPr>
                <w:rFonts w:ascii="黑体" w:eastAsia="黑体" w:cs="宋体" w:hint="eastAsia"/>
                <w:szCs w:val="21"/>
              </w:rPr>
              <w:t>第1</w:t>
            </w:r>
            <w:r>
              <w:rPr>
                <w:rFonts w:ascii="黑体" w:eastAsia="黑体" w:cs="宋体" w:hint="eastAsia"/>
                <w:szCs w:val="21"/>
              </w:rPr>
              <w:t>-4天（第1日）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住院</w:t>
            </w:r>
            <w:r w:rsidR="00BE4B3A">
              <w:rPr>
                <w:rFonts w:ascii="黑体" w:eastAsia="黑体" w:cs="宋体" w:hint="eastAsia"/>
                <w:szCs w:val="21"/>
              </w:rPr>
              <w:t>第1</w:t>
            </w:r>
            <w:r>
              <w:rPr>
                <w:rFonts w:ascii="黑体" w:eastAsia="黑体" w:cs="宋体" w:hint="eastAsia"/>
                <w:szCs w:val="21"/>
              </w:rPr>
              <w:t>-5日（术后第</w:t>
            </w:r>
            <w:r>
              <w:rPr>
                <w:rFonts w:ascii="黑体" w:eastAsia="黑体" w:cs="黑体" w:hint="eastAsia"/>
                <w:szCs w:val="21"/>
              </w:rPr>
              <w:t>2</w:t>
            </w:r>
            <w:r>
              <w:rPr>
                <w:rFonts w:ascii="黑体" w:eastAsia="黑体" w:cs="宋体" w:hint="eastAsia"/>
                <w:szCs w:val="21"/>
              </w:rPr>
              <w:t>日）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住院第</w:t>
            </w:r>
            <w:r w:rsidR="00BE4B3A">
              <w:rPr>
                <w:rFonts w:ascii="黑体" w:eastAsia="黑体" w:cs="宋体" w:hint="eastAsia"/>
                <w:szCs w:val="21"/>
              </w:rPr>
              <w:t>1</w:t>
            </w:r>
            <w:r>
              <w:rPr>
                <w:rFonts w:ascii="黑体" w:eastAsia="黑体" w:cs="宋体" w:hint="eastAsia"/>
                <w:szCs w:val="21"/>
              </w:rPr>
              <w:t>-6日（出院日）</w:t>
            </w:r>
          </w:p>
        </w:tc>
      </w:tr>
      <w:tr w:rsidR="00532715">
        <w:trPr>
          <w:trHeight w:val="300"/>
          <w:jc w:val="center"/>
        </w:trPr>
        <w:tc>
          <w:tcPr>
            <w:tcW w:w="8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主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要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诊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疗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工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作</w:t>
            </w:r>
          </w:p>
        </w:tc>
        <w:tc>
          <w:tcPr>
            <w:tcW w:w="298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检查患者术眼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上级医师查房，确定有无手术并发症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完成病程记录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向患者及家属交代术后恢复情况</w:t>
            </w:r>
          </w:p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检查患者术眼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上级医师查房，确定有无手术并发症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完成病程记录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评估患者何时可以出院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上级医师查房，确定是否可以出院，若患者可以出院，则需完成“出院记录”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通知出院处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通知患者及其家属出院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向患者交待出院后注意事项并书写“出院须知”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预约复诊日期</w:t>
            </w:r>
          </w:p>
          <w:p w:rsidR="00532715" w:rsidRDefault="00A13F97" w:rsidP="00F76978">
            <w:pPr>
              <w:numPr>
                <w:ilvl w:val="0"/>
                <w:numId w:val="14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出具“诊断证明书”及“出院证明书”</w:t>
            </w:r>
          </w:p>
        </w:tc>
      </w:tr>
      <w:tr w:rsidR="00532715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  <w:r w:rsidR="00D4692F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2 \* ROMAN </w:instrText>
            </w:r>
            <w:r w:rsidR="00D4692F">
              <w:rPr>
                <w:szCs w:val="21"/>
              </w:rPr>
              <w:fldChar w:fldCharType="separate"/>
            </w:r>
            <w:r>
              <w:rPr>
                <w:szCs w:val="21"/>
              </w:rPr>
              <w:t>II</w:t>
            </w:r>
            <w:r w:rsidR="00D4692F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级护理</w:t>
            </w:r>
            <w:r w:rsidR="00BE4B3A">
              <w:rPr>
                <w:rFonts w:hint="eastAsia"/>
                <w:szCs w:val="21"/>
              </w:rPr>
              <w:t>或Ⅲ级护理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或营养神经药物</w:t>
            </w:r>
          </w:p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根据病情需要制定</w:t>
            </w:r>
          </w:p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  <w:r w:rsidR="00D4692F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2 \* ROMAN </w:instrText>
            </w:r>
            <w:r w:rsidR="00D4692F">
              <w:rPr>
                <w:szCs w:val="21"/>
              </w:rPr>
              <w:fldChar w:fldCharType="separate"/>
            </w:r>
            <w:r>
              <w:rPr>
                <w:szCs w:val="21"/>
              </w:rPr>
              <w:t>II</w:t>
            </w:r>
            <w:r w:rsidR="00D4692F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级护理</w:t>
            </w:r>
            <w:r w:rsidR="00BE4B3A">
              <w:rPr>
                <w:rFonts w:hint="eastAsia"/>
                <w:szCs w:val="21"/>
              </w:rPr>
              <w:t>或Ⅲ级护理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或营养神经药物</w:t>
            </w:r>
          </w:p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根据病情需要制定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眼科</w:t>
            </w:r>
            <w:r w:rsidR="00D4692F"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= 2 \* ROMAN </w:instrText>
            </w:r>
            <w:r w:rsidR="00D4692F">
              <w:rPr>
                <w:szCs w:val="21"/>
              </w:rPr>
              <w:fldChar w:fldCharType="separate"/>
            </w:r>
            <w:r>
              <w:rPr>
                <w:szCs w:val="21"/>
              </w:rPr>
              <w:t>II</w:t>
            </w:r>
            <w:r w:rsidR="00D4692F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级护理</w:t>
            </w:r>
            <w:r w:rsidR="00BE4B3A">
              <w:rPr>
                <w:rFonts w:hint="eastAsia"/>
                <w:szCs w:val="21"/>
              </w:rPr>
              <w:t>或Ⅲ级护理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抗菌眼药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类固醇激素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非甾体抗炎眼药点术眼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必要时应用活血化瘀和或营养神经药物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今日出院</w:t>
            </w:r>
          </w:p>
          <w:p w:rsidR="00532715" w:rsidRDefault="00A13F97" w:rsidP="00F76978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532715" w:rsidRDefault="00A13F97" w:rsidP="00F76978">
            <w:pPr>
              <w:numPr>
                <w:ilvl w:val="0"/>
                <w:numId w:val="8"/>
              </w:numPr>
              <w:spacing w:line="2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出院带药：根据病情需要制定</w:t>
            </w:r>
          </w:p>
        </w:tc>
      </w:tr>
      <w:tr w:rsidR="00532715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□随时观察患者病情</w:t>
            </w:r>
          </w:p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□执行医嘱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numPr>
                <w:ilvl w:val="0"/>
                <w:numId w:val="8"/>
              </w:numPr>
              <w:tabs>
                <w:tab w:val="clear" w:pos="465"/>
                <w:tab w:val="left" w:pos="282"/>
              </w:tabs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随时观察患者病情</w:t>
            </w:r>
          </w:p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□执行医嘱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715" w:rsidRDefault="00A13F97" w:rsidP="00F76978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□出院宣教</w:t>
            </w:r>
          </w:p>
          <w:p w:rsidR="00532715" w:rsidRDefault="00A13F97" w:rsidP="00F76978">
            <w:pPr>
              <w:spacing w:line="260" w:lineRule="exact"/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□如果患者可以出院，协助患者办理出院手续、交费等事项</w:t>
            </w:r>
          </w:p>
        </w:tc>
      </w:tr>
      <w:tr w:rsidR="00532715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病情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变异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记录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□有，原因：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□有，原因：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 w:rsidR="00532715" w:rsidRDefault="00A13F97" w:rsidP="00F7697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</w:tr>
      <w:tr w:rsidR="00532715">
        <w:trPr>
          <w:trHeight w:val="300"/>
          <w:jc w:val="center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护士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大夜班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白班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小夜班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A13F97" w:rsidP="00F76978">
            <w:pPr>
              <w:spacing w:line="2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大夜班</w:t>
            </w:r>
          </w:p>
        </w:tc>
      </w:tr>
      <w:tr w:rsidR="00532715">
        <w:trPr>
          <w:trHeight w:val="300"/>
          <w:jc w:val="center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532715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</w:tr>
      <w:tr w:rsidR="00532715">
        <w:trPr>
          <w:trHeight w:val="30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医师</w:t>
            </w:r>
          </w:p>
          <w:p w:rsidR="00532715" w:rsidRDefault="00A13F97" w:rsidP="00F76978">
            <w:pPr>
              <w:spacing w:line="260" w:lineRule="exact"/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黑体" w:eastAsia="黑体" w:cs="宋体" w:hint="eastAsia"/>
                <w:szCs w:val="21"/>
              </w:rPr>
              <w:t>签名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715" w:rsidRDefault="00532715" w:rsidP="00F76978">
            <w:pPr>
              <w:spacing w:line="260" w:lineRule="exact"/>
              <w:rPr>
                <w:szCs w:val="21"/>
              </w:rPr>
            </w:pPr>
          </w:p>
        </w:tc>
      </w:tr>
    </w:tbl>
    <w:p w:rsidR="00532715" w:rsidRDefault="00532715" w:rsidP="00F76978">
      <w:pPr>
        <w:spacing w:line="260" w:lineRule="exact"/>
      </w:pPr>
    </w:p>
    <w:sectPr w:rsidR="00532715" w:rsidSect="0053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CD" w:rsidRDefault="000B5ACD" w:rsidP="00BE4B3A">
      <w:r>
        <w:separator/>
      </w:r>
    </w:p>
  </w:endnote>
  <w:endnote w:type="continuationSeparator" w:id="0">
    <w:p w:rsidR="000B5ACD" w:rsidRDefault="000B5ACD" w:rsidP="00B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CD" w:rsidRDefault="000B5ACD" w:rsidP="00BE4B3A">
      <w:r>
        <w:separator/>
      </w:r>
    </w:p>
  </w:footnote>
  <w:footnote w:type="continuationSeparator" w:id="0">
    <w:p w:rsidR="000B5ACD" w:rsidRDefault="000B5ACD" w:rsidP="00BE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139"/>
    <w:multiLevelType w:val="multilevel"/>
    <w:tmpl w:val="06621139"/>
    <w:lvl w:ilvl="0">
      <w:numFmt w:val="bullet"/>
      <w:lvlText w:val="□"/>
      <w:lvlJc w:val="left"/>
      <w:pPr>
        <w:ind w:left="420" w:hanging="420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3872B1"/>
    <w:multiLevelType w:val="multilevel"/>
    <w:tmpl w:val="0C3872B1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AB04F3F"/>
    <w:multiLevelType w:val="multilevel"/>
    <w:tmpl w:val="2AB04F3F"/>
    <w:lvl w:ilvl="0">
      <w:numFmt w:val="bullet"/>
      <w:lvlText w:val="□"/>
      <w:lvlJc w:val="left"/>
      <w:pPr>
        <w:ind w:left="420" w:hanging="420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CE4124"/>
    <w:multiLevelType w:val="multilevel"/>
    <w:tmpl w:val="2BCE4124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0645B9"/>
    <w:multiLevelType w:val="multilevel"/>
    <w:tmpl w:val="2F0645B9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楷体_GB2312" w:eastAsia="楷体_GB2312" w:hAnsi="宋体" w:cs="Times New Roman" w:hint="eastAsia"/>
      </w:rPr>
    </w:lvl>
    <w:lvl w:ilvl="2">
      <w:numFmt w:val="bullet"/>
      <w:lvlText w:val="◎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宋体" w:hint="eastAsia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00A7B"/>
    <w:multiLevelType w:val="multilevel"/>
    <w:tmpl w:val="3C000A7B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24796F"/>
    <w:multiLevelType w:val="multilevel"/>
    <w:tmpl w:val="4324796F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DC7D7C"/>
    <w:multiLevelType w:val="multilevel"/>
    <w:tmpl w:val="44DC7D7C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3617428"/>
    <w:multiLevelType w:val="multilevel"/>
    <w:tmpl w:val="53617428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BC02D0C"/>
    <w:multiLevelType w:val="multilevel"/>
    <w:tmpl w:val="5BC02D0C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90D5ADF"/>
    <w:multiLevelType w:val="multilevel"/>
    <w:tmpl w:val="690D5ADF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CD61648"/>
    <w:multiLevelType w:val="multilevel"/>
    <w:tmpl w:val="6CD61648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FD3877"/>
    <w:multiLevelType w:val="multilevel"/>
    <w:tmpl w:val="6EFD3877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DEB75DC"/>
    <w:multiLevelType w:val="multilevel"/>
    <w:tmpl w:val="7DEB75DC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715"/>
    <w:rsid w:val="000B5ACD"/>
    <w:rsid w:val="00532715"/>
    <w:rsid w:val="006E5BBC"/>
    <w:rsid w:val="00A13F97"/>
    <w:rsid w:val="00A26B15"/>
    <w:rsid w:val="00B625F8"/>
    <w:rsid w:val="00BE4B3A"/>
    <w:rsid w:val="00C100B3"/>
    <w:rsid w:val="00CA6D52"/>
    <w:rsid w:val="00D4692F"/>
    <w:rsid w:val="00DA0C41"/>
    <w:rsid w:val="00F76978"/>
    <w:rsid w:val="4600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698900-5A45-4E0B-8C8E-1E82DEE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3271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3">
    <w:name w:val="header"/>
    <w:basedOn w:val="a"/>
    <w:link w:val="Char"/>
    <w:rsid w:val="00B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4B3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4B3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BE4B3A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4B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刘立煌</cp:lastModifiedBy>
  <cp:revision>8</cp:revision>
  <dcterms:created xsi:type="dcterms:W3CDTF">2016-11-01T07:58:00Z</dcterms:created>
  <dcterms:modified xsi:type="dcterms:W3CDTF">2016-11-28T08:34:00Z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