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79" w:rsidRPr="00D06885" w:rsidRDefault="00C23D79" w:rsidP="00D06885">
      <w:pPr>
        <w:pStyle w:val="aa"/>
        <w:rPr>
          <w:rFonts w:asciiTheme="minorEastAsia" w:eastAsiaTheme="minorEastAsia" w:hAnsiTheme="minorEastAsia"/>
          <w:sz w:val="44"/>
          <w:szCs w:val="44"/>
        </w:rPr>
      </w:pPr>
      <w:bookmarkStart w:id="0" w:name="_Toc459913025"/>
      <w:r w:rsidRPr="00D06885">
        <w:rPr>
          <w:rFonts w:asciiTheme="minorEastAsia" w:eastAsiaTheme="minorEastAsia" w:hAnsiTheme="minorEastAsia" w:hint="eastAsia"/>
          <w:sz w:val="44"/>
          <w:szCs w:val="44"/>
        </w:rPr>
        <w:t>下睑眼袋矫正术临床路径</w:t>
      </w:r>
      <w:bookmarkEnd w:id="0"/>
    </w:p>
    <w:p w:rsidR="00C23D79" w:rsidRDefault="00D06885" w:rsidP="00C23D79">
      <w:pPr>
        <w:snapToGrid w:val="0"/>
        <w:spacing w:line="360" w:lineRule="auto"/>
        <w:jc w:val="center"/>
        <w:rPr>
          <w:rFonts w:ascii="仿宋_GB2312" w:eastAsia="仿宋_GB2312" w:hAnsi="仿宋" w:cs="仿宋"/>
          <w:sz w:val="32"/>
          <w:szCs w:val="32"/>
        </w:rPr>
      </w:pPr>
      <w:r w:rsidRPr="00D06885">
        <w:rPr>
          <w:rFonts w:ascii="仿宋_GB2312" w:eastAsia="仿宋_GB2312" w:hAnsi="仿宋" w:cs="仿宋" w:hint="eastAsia"/>
          <w:sz w:val="32"/>
          <w:szCs w:val="32"/>
        </w:rPr>
        <w:t>（2016年版）</w:t>
      </w:r>
    </w:p>
    <w:p w:rsidR="0048766D" w:rsidRPr="00D06885" w:rsidRDefault="0048766D" w:rsidP="00C23D79">
      <w:pPr>
        <w:snapToGrid w:val="0"/>
        <w:spacing w:line="360" w:lineRule="auto"/>
        <w:jc w:val="center"/>
        <w:rPr>
          <w:rFonts w:ascii="仿宋_GB2312" w:eastAsia="仿宋_GB2312" w:hAnsi="仿宋" w:cs="仿宋" w:hint="eastAsia"/>
          <w:sz w:val="32"/>
          <w:szCs w:val="32"/>
        </w:rPr>
      </w:pPr>
      <w:bookmarkStart w:id="1" w:name="_GoBack"/>
      <w:bookmarkEnd w:id="1"/>
    </w:p>
    <w:p w:rsidR="00C23D79" w:rsidRPr="00D06885" w:rsidRDefault="00C23D79" w:rsidP="00394231">
      <w:pPr>
        <w:adjustRightInd w:val="0"/>
        <w:snapToGrid w:val="0"/>
        <w:spacing w:beforeLines="100" w:before="312" w:line="360" w:lineRule="auto"/>
        <w:ind w:firstLineChars="200" w:firstLine="640"/>
        <w:rPr>
          <w:rFonts w:ascii="黑体" w:eastAsia="黑体" w:hAnsi="黑体" w:cs="仿宋"/>
          <w:b/>
          <w:sz w:val="32"/>
          <w:szCs w:val="32"/>
        </w:rPr>
      </w:pPr>
      <w:r w:rsidRPr="00D06885">
        <w:rPr>
          <w:rFonts w:ascii="黑体" w:eastAsia="黑体" w:hAnsi="黑体" w:cs="仿宋" w:hint="eastAsia"/>
          <w:sz w:val="32"/>
          <w:szCs w:val="32"/>
        </w:rPr>
        <w:t>一、下睑眼袋矫正术临床路径标准住院流程</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（一）适用对象。</w:t>
      </w:r>
    </w:p>
    <w:p w:rsidR="00C23D79" w:rsidRPr="006549C5" w:rsidRDefault="00C23D79" w:rsidP="00C23D79">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 xml:space="preserve">下睑眼袋形成   </w:t>
      </w:r>
    </w:p>
    <w:p w:rsidR="00C23D79" w:rsidRPr="006D345F" w:rsidRDefault="00C23D79" w:rsidP="006D345F">
      <w:pPr>
        <w:snapToGrid w:val="0"/>
        <w:spacing w:line="360" w:lineRule="auto"/>
        <w:ind w:firstLineChars="200" w:firstLine="640"/>
        <w:jc w:val="left"/>
        <w:rPr>
          <w:rFonts w:ascii="仿宋_GB2312" w:eastAsia="仿宋_GB2312" w:hAnsi="宋体" w:cs="仿宋"/>
          <w:sz w:val="32"/>
          <w:szCs w:val="28"/>
        </w:rPr>
      </w:pPr>
      <w:r w:rsidRPr="006D345F">
        <w:rPr>
          <w:rFonts w:ascii="仿宋_GB2312" w:eastAsia="仿宋_GB2312" w:hAnsi="宋体" w:cs="仿宋" w:hint="eastAsia"/>
          <w:sz w:val="32"/>
          <w:szCs w:val="28"/>
        </w:rPr>
        <w:t xml:space="preserve">行双侧下睑眼袋矫正术 </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（二）诊断依据。</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根据《整形外科学》（王炜等主编，浙江科学技术出版社，1999年，第1版），《美容外科学》（刘林</w:t>
      </w:r>
      <w:r w:rsidRPr="006D345F">
        <w:rPr>
          <w:rFonts w:ascii="微软雅黑" w:eastAsia="微软雅黑" w:hAnsi="微软雅黑" w:cs="微软雅黑" w:hint="eastAsia"/>
          <w:sz w:val="32"/>
          <w:szCs w:val="28"/>
        </w:rPr>
        <w:t>嶓</w:t>
      </w:r>
      <w:r w:rsidRPr="006D345F">
        <w:rPr>
          <w:rFonts w:ascii="仿宋_GB2312" w:eastAsia="仿宋_GB2312" w:hAnsi="宋体" w:cs="仿宋" w:hint="eastAsia"/>
          <w:sz w:val="32"/>
          <w:szCs w:val="28"/>
        </w:rPr>
        <w:t>等主编，人民卫生出版社，</w:t>
      </w:r>
      <w:r w:rsidRPr="006549C5">
        <w:rPr>
          <w:rFonts w:ascii="仿宋_GB2312" w:eastAsia="仿宋_GB2312" w:hAnsi="宋体" w:cs="仿宋" w:hint="eastAsia"/>
          <w:sz w:val="32"/>
          <w:szCs w:val="28"/>
        </w:rPr>
        <w:t>2011年，第2版）。</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 xml:space="preserve">1.症状：双侧下睑突出。 </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2.体征：双侧下睑明显隆起，眼角处形成皱纹。</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3.顾客有强烈眼袋矫正的要求。</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4.无其它疾病。</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（三）治疗方案的选择。</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根据整形外科学》（王炜等主编，浙江科学技术出版社，1999年，第1版），《美容外科学》（刘林</w:t>
      </w:r>
      <w:r w:rsidRPr="006549C5">
        <w:rPr>
          <w:rFonts w:ascii="微软雅黑" w:eastAsia="微软雅黑" w:hAnsi="微软雅黑" w:cs="微软雅黑" w:hint="eastAsia"/>
          <w:sz w:val="32"/>
          <w:szCs w:val="28"/>
        </w:rPr>
        <w:t>嶓</w:t>
      </w:r>
      <w:r w:rsidRPr="006549C5">
        <w:rPr>
          <w:rFonts w:ascii="仿宋_GB2312" w:eastAsia="仿宋_GB2312" w:hAnsi="仿宋_GB2312" w:cs="仿宋_GB2312" w:hint="eastAsia"/>
          <w:sz w:val="32"/>
          <w:szCs w:val="28"/>
        </w:rPr>
        <w:t>等主编，人民卫生出版社，</w:t>
      </w:r>
      <w:r w:rsidRPr="006549C5">
        <w:rPr>
          <w:rFonts w:ascii="仿宋_GB2312" w:eastAsia="仿宋_GB2312" w:hAnsi="宋体" w:cs="仿宋" w:hint="eastAsia"/>
          <w:sz w:val="32"/>
          <w:szCs w:val="28"/>
        </w:rPr>
        <w:t>2011年，第2版）。</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行双侧下睑眼袋矫正术。</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lastRenderedPageBreak/>
        <w:t>（四）标准住院日为1-</w:t>
      </w:r>
      <w:r w:rsidR="00D73757" w:rsidRPr="006549C5">
        <w:rPr>
          <w:rFonts w:ascii="楷体_GB2312" w:eastAsia="楷体_GB2312" w:hAnsi="宋体" w:cs="仿宋" w:hint="eastAsia"/>
          <w:b/>
          <w:sz w:val="32"/>
          <w:szCs w:val="28"/>
        </w:rPr>
        <w:t>4</w:t>
      </w:r>
      <w:r w:rsidRPr="006549C5">
        <w:rPr>
          <w:rFonts w:ascii="楷体_GB2312" w:eastAsia="楷体_GB2312" w:hAnsi="宋体" w:cs="仿宋" w:hint="eastAsia"/>
          <w:b/>
          <w:sz w:val="32"/>
          <w:szCs w:val="28"/>
        </w:rPr>
        <w:t>天。</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（五）进入路径标准。</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1.第一诊断必须符合双侧下睑眼袋突出。</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2.当患者合并其他疾病，但住院期间不需要特殊处理也不影响第一诊断的临床路径流程实施时，可以进入路径。</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（六）术前准备0.5-1天。</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检查项目：</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（1）血常规、尿常规；</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（2）肝功能、肾功能、电解质、凝血功能、感染性疾病筛查（乙肝、丙肝、艾滋病、梅毒等）；</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（3）心电图；</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（七）预防性抗菌药物选择与使用时机。</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按照《2015年抗菌药物临床应用指导原则》执行。通常不需预防用抗菌药物。</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（八）手术日为入院</w:t>
      </w:r>
      <w:r w:rsidR="00D73757" w:rsidRPr="006549C5">
        <w:rPr>
          <w:rFonts w:ascii="楷体_GB2312" w:eastAsia="楷体_GB2312" w:hAnsi="宋体" w:cs="仿宋" w:hint="eastAsia"/>
          <w:b/>
          <w:sz w:val="32"/>
          <w:szCs w:val="28"/>
        </w:rPr>
        <w:t>1-4</w:t>
      </w:r>
      <w:r w:rsidRPr="006549C5">
        <w:rPr>
          <w:rFonts w:ascii="楷体_GB2312" w:eastAsia="楷体_GB2312" w:hAnsi="宋体" w:cs="仿宋" w:hint="eastAsia"/>
          <w:b/>
          <w:sz w:val="32"/>
          <w:szCs w:val="28"/>
        </w:rPr>
        <w:t>天。</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1.麻醉方式：局麻</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2.手术方式：睑缘下切口，打开眶隔取出部分框隔脂肪，修补眶隔，切除多余皮肤。</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3.术中用药：止血药（酌情）。</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4.手术内固定物：无。</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（九）术后住院恢复</w:t>
      </w:r>
      <w:r w:rsidR="00D73757" w:rsidRPr="006549C5">
        <w:rPr>
          <w:rFonts w:ascii="楷体_GB2312" w:eastAsia="楷体_GB2312" w:hAnsi="宋体" w:cs="仿宋" w:hint="eastAsia"/>
          <w:b/>
          <w:sz w:val="32"/>
          <w:szCs w:val="28"/>
        </w:rPr>
        <w:t>2-3</w:t>
      </w:r>
      <w:r w:rsidRPr="006549C5">
        <w:rPr>
          <w:rFonts w:ascii="楷体_GB2312" w:eastAsia="楷体_GB2312" w:hAnsi="宋体" w:cs="仿宋" w:hint="eastAsia"/>
          <w:b/>
          <w:sz w:val="32"/>
          <w:szCs w:val="28"/>
        </w:rPr>
        <w:t>天。</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1、术后用药：抗菌药物：按照《2015年抗菌药物临床</w:t>
      </w:r>
      <w:r w:rsidRPr="006549C5">
        <w:rPr>
          <w:rFonts w:ascii="仿宋_GB2312" w:eastAsia="仿宋_GB2312" w:hAnsi="宋体" w:cs="仿宋" w:hint="eastAsia"/>
          <w:sz w:val="32"/>
          <w:szCs w:val="28"/>
        </w:rPr>
        <w:lastRenderedPageBreak/>
        <w:t>应用指导原则》执行。通常不需预防用抗菌药物。</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2.眼部给予冰敷，严密观察有无出血等并发症，并作相应处理。</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（十）出院标准。</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 xml:space="preserve">1.伤口愈合好：无积血，无感染征象。 </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2.没有需要住院处理的并发症和/或合并症。</w:t>
      </w:r>
    </w:p>
    <w:p w:rsidR="00C23D79" w:rsidRPr="006549C5" w:rsidRDefault="00C23D79" w:rsidP="00394231">
      <w:pPr>
        <w:adjustRightInd w:val="0"/>
        <w:snapToGrid w:val="0"/>
        <w:spacing w:line="360" w:lineRule="auto"/>
        <w:ind w:firstLineChars="200" w:firstLine="643"/>
        <w:rPr>
          <w:rFonts w:ascii="楷体_GB2312" w:eastAsia="楷体_GB2312" w:hAnsi="宋体" w:cs="仿宋"/>
          <w:b/>
          <w:sz w:val="32"/>
          <w:szCs w:val="28"/>
        </w:rPr>
      </w:pPr>
      <w:r w:rsidRPr="006549C5">
        <w:rPr>
          <w:rFonts w:ascii="楷体_GB2312" w:eastAsia="楷体_GB2312" w:hAnsi="宋体" w:cs="仿宋" w:hint="eastAsia"/>
          <w:b/>
          <w:sz w:val="32"/>
          <w:szCs w:val="28"/>
        </w:rPr>
        <w:t>（十一）变异及原因分析。</w:t>
      </w:r>
    </w:p>
    <w:p w:rsidR="00C23D79" w:rsidRPr="006549C5" w:rsidRDefault="00C23D79" w:rsidP="006549C5">
      <w:pPr>
        <w:snapToGrid w:val="0"/>
        <w:spacing w:line="360" w:lineRule="auto"/>
        <w:ind w:firstLineChars="200" w:firstLine="640"/>
        <w:jc w:val="left"/>
        <w:rPr>
          <w:rFonts w:ascii="仿宋_GB2312" w:eastAsia="仿宋_GB2312" w:hAnsi="宋体" w:cs="仿宋"/>
          <w:sz w:val="32"/>
          <w:szCs w:val="28"/>
        </w:rPr>
      </w:pPr>
      <w:r w:rsidRPr="006549C5">
        <w:rPr>
          <w:rFonts w:ascii="仿宋_GB2312" w:eastAsia="仿宋_GB2312" w:hAnsi="宋体" w:cs="仿宋" w:hint="eastAsia"/>
          <w:sz w:val="32"/>
          <w:szCs w:val="28"/>
        </w:rPr>
        <w:t>有影响手术的合并症，需要进行相关的诊断和治疗。</w:t>
      </w:r>
    </w:p>
    <w:p w:rsidR="00C23D79" w:rsidRPr="00CD5379" w:rsidRDefault="00C23D79" w:rsidP="00602AFC">
      <w:pPr>
        <w:snapToGrid w:val="0"/>
        <w:spacing w:line="360" w:lineRule="auto"/>
        <w:jc w:val="left"/>
        <w:rPr>
          <w:rFonts w:ascii="黑体" w:eastAsia="黑体" w:hAnsi="黑体" w:cs="仿宋"/>
          <w:sz w:val="28"/>
          <w:szCs w:val="28"/>
        </w:rPr>
      </w:pPr>
      <w:r w:rsidRPr="006549C5">
        <w:rPr>
          <w:rFonts w:ascii="仿宋_GB2312" w:eastAsia="仿宋_GB2312" w:hAnsi="宋体" w:cs="仿宋"/>
          <w:sz w:val="32"/>
          <w:szCs w:val="28"/>
        </w:rPr>
        <w:br w:type="page"/>
      </w:r>
      <w:r w:rsidRPr="00CD5379">
        <w:rPr>
          <w:rFonts w:ascii="黑体" w:eastAsia="黑体" w:hAnsi="黑体" w:cs="仿宋" w:hint="eastAsia"/>
          <w:bCs/>
          <w:sz w:val="28"/>
          <w:szCs w:val="28"/>
        </w:rPr>
        <w:lastRenderedPageBreak/>
        <w:t>二、双侧下睑眼袋矫正术临床路径表单</w:t>
      </w:r>
    </w:p>
    <w:p w:rsidR="00C23D79" w:rsidRPr="00CD5379" w:rsidRDefault="00C23D79" w:rsidP="006549C5">
      <w:pPr>
        <w:ind w:rightChars="-109" w:right="-229"/>
        <w:rPr>
          <w:rFonts w:ascii="宋体" w:hAnsi="宋体" w:cs="仿宋"/>
          <w:szCs w:val="21"/>
        </w:rPr>
      </w:pPr>
      <w:r w:rsidRPr="00CD5379">
        <w:rPr>
          <w:rFonts w:ascii="宋体" w:hAnsi="宋体" w:cs="仿宋" w:hint="eastAsia"/>
          <w:szCs w:val="21"/>
        </w:rPr>
        <w:t>适用对象：双侧下睑眼袋形成；</w:t>
      </w:r>
      <w:r w:rsidRPr="006D345F">
        <w:rPr>
          <w:rFonts w:ascii="宋体" w:hAnsi="宋体" w:cs="仿宋" w:hint="eastAsia"/>
          <w:b/>
          <w:szCs w:val="21"/>
        </w:rPr>
        <w:t>行</w:t>
      </w:r>
      <w:r w:rsidRPr="00CD5379">
        <w:rPr>
          <w:rFonts w:ascii="宋体" w:hAnsi="宋体" w:cs="仿宋" w:hint="eastAsia"/>
          <w:szCs w:val="21"/>
        </w:rPr>
        <w:t>矫正术术。</w:t>
      </w:r>
    </w:p>
    <w:p w:rsidR="00C23D79" w:rsidRPr="00CD5379" w:rsidRDefault="00C23D79" w:rsidP="006549C5">
      <w:pPr>
        <w:ind w:rightChars="-109" w:right="-229"/>
        <w:rPr>
          <w:rFonts w:ascii="宋体" w:hAnsi="宋体" w:cs="仿宋"/>
          <w:szCs w:val="21"/>
        </w:rPr>
      </w:pPr>
      <w:r w:rsidRPr="00CD5379">
        <w:rPr>
          <w:rFonts w:ascii="宋体" w:hAnsi="宋体" w:cs="仿宋" w:hint="eastAsia"/>
          <w:szCs w:val="21"/>
        </w:rPr>
        <w:t>顾客姓名：    性别：年龄：  门诊号：住院号：</w:t>
      </w:r>
    </w:p>
    <w:p w:rsidR="00C23D79" w:rsidRPr="00CD5379" w:rsidRDefault="00C23D79" w:rsidP="006549C5">
      <w:pPr>
        <w:ind w:rightChars="-109" w:right="-229"/>
        <w:rPr>
          <w:rFonts w:ascii="宋体" w:hAnsi="宋体" w:cs="仿宋"/>
          <w:szCs w:val="21"/>
        </w:rPr>
      </w:pPr>
      <w:r w:rsidRPr="00CD5379">
        <w:rPr>
          <w:rFonts w:ascii="宋体" w:hAnsi="宋体" w:cs="仿宋" w:hint="eastAsia"/>
          <w:szCs w:val="21"/>
        </w:rPr>
        <w:t>住院日期：年月日     出院日期：年月日   标准住院日：3天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4268"/>
        <w:gridCol w:w="2279"/>
        <w:gridCol w:w="2280"/>
      </w:tblGrid>
      <w:tr w:rsidR="00C23D79" w:rsidRPr="00CD5379" w:rsidTr="001F0E99">
        <w:trPr>
          <w:trHeight w:val="315"/>
          <w:jc w:val="center"/>
        </w:trPr>
        <w:tc>
          <w:tcPr>
            <w:tcW w:w="744" w:type="dxa"/>
            <w:tcBorders>
              <w:top w:val="double" w:sz="4" w:space="0" w:color="auto"/>
              <w:left w:val="double" w:sz="4" w:space="0" w:color="auto"/>
              <w:bottom w:val="double" w:sz="4" w:space="0" w:color="auto"/>
              <w:right w:val="double" w:sz="4" w:space="0" w:color="auto"/>
            </w:tcBorders>
            <w:vAlign w:val="center"/>
          </w:tcPr>
          <w:p w:rsidR="00C23D79" w:rsidRPr="006549C5" w:rsidRDefault="00C23D79" w:rsidP="006549C5">
            <w:pPr>
              <w:snapToGrid w:val="0"/>
              <w:spacing w:line="260" w:lineRule="exact"/>
              <w:jc w:val="center"/>
              <w:rPr>
                <w:rFonts w:ascii="黑体" w:eastAsia="黑体" w:hAnsi="黑体" w:cs="仿宋"/>
                <w:szCs w:val="21"/>
              </w:rPr>
            </w:pPr>
            <w:r w:rsidRPr="006549C5">
              <w:rPr>
                <w:rFonts w:ascii="黑体" w:eastAsia="黑体" w:hAnsi="黑体" w:cs="仿宋" w:hint="eastAsia"/>
                <w:szCs w:val="21"/>
              </w:rPr>
              <w:t>日期</w:t>
            </w:r>
          </w:p>
        </w:tc>
        <w:tc>
          <w:tcPr>
            <w:tcW w:w="4268" w:type="dxa"/>
            <w:tcBorders>
              <w:top w:val="double" w:sz="4" w:space="0" w:color="auto"/>
              <w:left w:val="double" w:sz="4" w:space="0" w:color="auto"/>
              <w:bottom w:val="double" w:sz="4" w:space="0" w:color="auto"/>
              <w:right w:val="double" w:sz="4" w:space="0" w:color="auto"/>
            </w:tcBorders>
            <w:vAlign w:val="center"/>
          </w:tcPr>
          <w:p w:rsidR="00C23D79" w:rsidRPr="006549C5" w:rsidRDefault="00C23D79" w:rsidP="006549C5">
            <w:pPr>
              <w:pStyle w:val="a5"/>
              <w:snapToGrid w:val="0"/>
              <w:spacing w:line="260" w:lineRule="exact"/>
              <w:ind w:leftChars="0" w:left="0"/>
              <w:jc w:val="center"/>
              <w:rPr>
                <w:rFonts w:ascii="黑体" w:eastAsia="黑体" w:hAnsi="黑体" w:cs="仿宋"/>
                <w:szCs w:val="21"/>
              </w:rPr>
            </w:pPr>
            <w:r w:rsidRPr="006549C5">
              <w:rPr>
                <w:rFonts w:ascii="黑体" w:eastAsia="黑体" w:hAnsi="黑体" w:cs="仿宋" w:hint="eastAsia"/>
                <w:szCs w:val="21"/>
              </w:rPr>
              <w:t>住院第1天（手术日）</w:t>
            </w:r>
          </w:p>
        </w:tc>
        <w:tc>
          <w:tcPr>
            <w:tcW w:w="2279" w:type="dxa"/>
            <w:tcBorders>
              <w:top w:val="double" w:sz="4" w:space="0" w:color="auto"/>
              <w:left w:val="double" w:sz="4" w:space="0" w:color="auto"/>
              <w:bottom w:val="double" w:sz="4" w:space="0" w:color="auto"/>
              <w:right w:val="double" w:sz="4" w:space="0" w:color="auto"/>
            </w:tcBorders>
            <w:vAlign w:val="center"/>
          </w:tcPr>
          <w:p w:rsidR="00C23D79" w:rsidRPr="006549C5" w:rsidRDefault="00C23D79" w:rsidP="006549C5">
            <w:pPr>
              <w:snapToGrid w:val="0"/>
              <w:spacing w:line="260" w:lineRule="exact"/>
              <w:jc w:val="center"/>
              <w:rPr>
                <w:rFonts w:ascii="黑体" w:eastAsia="黑体" w:hAnsi="黑体" w:cs="仿宋"/>
                <w:szCs w:val="21"/>
              </w:rPr>
            </w:pPr>
            <w:r w:rsidRPr="006549C5">
              <w:rPr>
                <w:rFonts w:ascii="黑体" w:eastAsia="黑体" w:hAnsi="黑体" w:cs="仿宋" w:hint="eastAsia"/>
                <w:szCs w:val="21"/>
              </w:rPr>
              <w:t>住院第2天</w:t>
            </w:r>
          </w:p>
          <w:p w:rsidR="00C23D79" w:rsidRPr="006549C5" w:rsidRDefault="00C23D79" w:rsidP="006549C5">
            <w:pPr>
              <w:snapToGrid w:val="0"/>
              <w:spacing w:line="260" w:lineRule="exact"/>
              <w:jc w:val="center"/>
              <w:rPr>
                <w:rFonts w:ascii="黑体" w:eastAsia="黑体" w:hAnsi="黑体" w:cs="仿宋"/>
                <w:szCs w:val="21"/>
              </w:rPr>
            </w:pPr>
            <w:r w:rsidRPr="006549C5">
              <w:rPr>
                <w:rFonts w:ascii="黑体" w:eastAsia="黑体" w:hAnsi="黑体" w:cs="仿宋" w:hint="eastAsia"/>
                <w:szCs w:val="21"/>
              </w:rPr>
              <w:t>（术后第1日）</w:t>
            </w:r>
          </w:p>
        </w:tc>
        <w:tc>
          <w:tcPr>
            <w:tcW w:w="2280" w:type="dxa"/>
            <w:tcBorders>
              <w:top w:val="double" w:sz="4" w:space="0" w:color="auto"/>
              <w:left w:val="double" w:sz="4" w:space="0" w:color="auto"/>
              <w:bottom w:val="double" w:sz="4" w:space="0" w:color="auto"/>
              <w:right w:val="double" w:sz="4" w:space="0" w:color="auto"/>
            </w:tcBorders>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住院第3天</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（出院日）</w:t>
            </w:r>
          </w:p>
        </w:tc>
      </w:tr>
      <w:tr w:rsidR="00C23D79" w:rsidRPr="00CD5379" w:rsidTr="001F0E99">
        <w:trPr>
          <w:trHeight w:val="3103"/>
          <w:jc w:val="center"/>
        </w:trPr>
        <w:tc>
          <w:tcPr>
            <w:tcW w:w="744" w:type="dxa"/>
            <w:tcBorders>
              <w:top w:val="double" w:sz="4" w:space="0" w:color="auto"/>
            </w:tcBorders>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主</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要</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诊</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疗</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工</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作</w:t>
            </w:r>
          </w:p>
        </w:tc>
        <w:tc>
          <w:tcPr>
            <w:tcW w:w="4268" w:type="dxa"/>
            <w:tcBorders>
              <w:top w:val="double" w:sz="4" w:space="0" w:color="auto"/>
            </w:tcBorders>
          </w:tcPr>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询问病史及体格检查</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完成住院病历和首次病程记录</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开检查检验单</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上级医师查房</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初步确定诊治方案和特殊检查项目</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手术医嘱</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完成术前准备与术前评估</w:t>
            </w:r>
          </w:p>
          <w:p w:rsidR="00C23D79" w:rsidRPr="00CD5379" w:rsidRDefault="00C23D79" w:rsidP="006549C5">
            <w:pPr>
              <w:numPr>
                <w:ilvl w:val="0"/>
                <w:numId w:val="2"/>
              </w:numPr>
              <w:spacing w:line="260" w:lineRule="exact"/>
              <w:ind w:left="0" w:firstLine="0"/>
              <w:rPr>
                <w:rFonts w:ascii="宋体" w:hAnsi="宋体" w:cs="仿宋"/>
                <w:szCs w:val="21"/>
              </w:rPr>
            </w:pPr>
            <w:r w:rsidRPr="00CD5379">
              <w:rPr>
                <w:rFonts w:ascii="宋体" w:hAnsi="宋体" w:cs="仿宋" w:hint="eastAsia"/>
                <w:szCs w:val="21"/>
              </w:rPr>
              <w:t>根据检查检验结果，确定手术方案</w:t>
            </w:r>
          </w:p>
          <w:p w:rsidR="00C23D79" w:rsidRPr="00CD5379" w:rsidRDefault="00C23D79" w:rsidP="006549C5">
            <w:pPr>
              <w:numPr>
                <w:ilvl w:val="0"/>
                <w:numId w:val="2"/>
              </w:numPr>
              <w:spacing w:line="260" w:lineRule="exact"/>
              <w:ind w:left="0" w:firstLine="0"/>
              <w:rPr>
                <w:rFonts w:ascii="宋体" w:hAnsi="宋体" w:cs="仿宋"/>
                <w:szCs w:val="21"/>
              </w:rPr>
            </w:pPr>
            <w:r w:rsidRPr="00CD5379">
              <w:rPr>
                <w:rFonts w:ascii="宋体" w:hAnsi="宋体" w:cs="仿宋" w:hint="eastAsia"/>
                <w:szCs w:val="21"/>
              </w:rPr>
              <w:t>住院医师完成上级医师查房记录、术前小结</w:t>
            </w:r>
          </w:p>
          <w:p w:rsidR="00C23D79" w:rsidRPr="00CD5379" w:rsidRDefault="00C23D79" w:rsidP="006549C5">
            <w:pPr>
              <w:numPr>
                <w:ilvl w:val="0"/>
                <w:numId w:val="2"/>
              </w:numPr>
              <w:spacing w:line="260" w:lineRule="exact"/>
              <w:ind w:left="0" w:firstLine="0"/>
              <w:rPr>
                <w:rFonts w:ascii="宋体" w:hAnsi="宋体" w:cs="仿宋"/>
                <w:szCs w:val="21"/>
              </w:rPr>
            </w:pPr>
            <w:r w:rsidRPr="00CD5379">
              <w:rPr>
                <w:rFonts w:ascii="宋体" w:hAnsi="宋体" w:cs="仿宋" w:hint="eastAsia"/>
                <w:szCs w:val="21"/>
              </w:rPr>
              <w:t>完成术前总结</w:t>
            </w:r>
          </w:p>
          <w:p w:rsidR="00C23D79" w:rsidRPr="00CD5379" w:rsidRDefault="00C23D79" w:rsidP="006549C5">
            <w:pPr>
              <w:numPr>
                <w:ilvl w:val="0"/>
                <w:numId w:val="2"/>
              </w:numPr>
              <w:spacing w:line="260" w:lineRule="exact"/>
              <w:ind w:left="0" w:firstLine="0"/>
              <w:rPr>
                <w:rFonts w:ascii="宋体" w:hAnsi="宋体" w:cs="仿宋"/>
                <w:szCs w:val="21"/>
              </w:rPr>
            </w:pPr>
            <w:r w:rsidRPr="00CD5379">
              <w:rPr>
                <w:rFonts w:ascii="宋体" w:hAnsi="宋体" w:cs="仿宋" w:hint="eastAsia"/>
                <w:szCs w:val="21"/>
              </w:rPr>
              <w:t>签署手术知情同意书、麻醉同意书或授权委托书</w:t>
            </w:r>
          </w:p>
          <w:p w:rsidR="00C23D79" w:rsidRPr="00CD5379" w:rsidRDefault="00C23D79" w:rsidP="006549C5">
            <w:pPr>
              <w:numPr>
                <w:ilvl w:val="0"/>
                <w:numId w:val="1"/>
              </w:numPr>
              <w:spacing w:line="260" w:lineRule="exact"/>
              <w:ind w:left="0" w:firstLine="0"/>
              <w:rPr>
                <w:rFonts w:ascii="宋体" w:hAnsi="宋体" w:cs="仿宋"/>
                <w:bCs/>
                <w:szCs w:val="21"/>
              </w:rPr>
            </w:pPr>
            <w:r w:rsidRPr="00CD5379">
              <w:rPr>
                <w:rFonts w:ascii="宋体" w:hAnsi="宋体" w:cs="仿宋" w:hint="eastAsia"/>
                <w:szCs w:val="21"/>
              </w:rPr>
              <w:t>向患者及家属交待病情、手术安排及围手术期注意事项</w:t>
            </w:r>
          </w:p>
        </w:tc>
        <w:tc>
          <w:tcPr>
            <w:tcW w:w="2279" w:type="dxa"/>
            <w:tcBorders>
              <w:top w:val="double" w:sz="4" w:space="0" w:color="auto"/>
            </w:tcBorders>
          </w:tcPr>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麻醉医师完成麻醉记录</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完成术后首次病程记录</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完成手术记录</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向患者及家属说明手术情况</w:t>
            </w:r>
          </w:p>
        </w:tc>
        <w:tc>
          <w:tcPr>
            <w:tcW w:w="2280" w:type="dxa"/>
            <w:tcBorders>
              <w:top w:val="double" w:sz="4" w:space="0" w:color="auto"/>
            </w:tcBorders>
          </w:tcPr>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上级医师查房</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明确是否符合出院标准</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完成出院记录、病案首页、出院证明书等</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通知出入院处</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通知患者及家属</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向患者告知出院后注意事项，如康复计划、返院复诊、后续治疗，及相关并发症的处理等</w:t>
            </w:r>
          </w:p>
          <w:p w:rsidR="00C23D79" w:rsidRPr="00CD5379" w:rsidRDefault="00C23D79" w:rsidP="006549C5">
            <w:pPr>
              <w:numPr>
                <w:ilvl w:val="0"/>
                <w:numId w:val="1"/>
              </w:numPr>
              <w:tabs>
                <w:tab w:val="left" w:pos="360"/>
              </w:tabs>
              <w:snapToGrid w:val="0"/>
              <w:spacing w:line="260" w:lineRule="exact"/>
              <w:ind w:left="0" w:firstLine="0"/>
              <w:rPr>
                <w:rFonts w:ascii="宋体" w:hAnsi="宋体" w:cs="仿宋"/>
                <w:szCs w:val="21"/>
              </w:rPr>
            </w:pPr>
            <w:r w:rsidRPr="00CD5379">
              <w:rPr>
                <w:rFonts w:ascii="宋体" w:hAnsi="宋体" w:cs="仿宋" w:hint="eastAsia"/>
                <w:szCs w:val="21"/>
              </w:rPr>
              <w:t>出院小结、诊断证明书及出院须知交予患者</w:t>
            </w:r>
          </w:p>
        </w:tc>
      </w:tr>
      <w:tr w:rsidR="00C23D79" w:rsidRPr="00CD5379" w:rsidTr="001F0E99">
        <w:trPr>
          <w:trHeight w:val="479"/>
          <w:jc w:val="center"/>
        </w:trPr>
        <w:tc>
          <w:tcPr>
            <w:tcW w:w="744" w:type="dxa"/>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重</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点</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医</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嘱</w:t>
            </w:r>
          </w:p>
        </w:tc>
        <w:tc>
          <w:tcPr>
            <w:tcW w:w="4268" w:type="dxa"/>
          </w:tcPr>
          <w:p w:rsidR="00C23D79" w:rsidRPr="00CD5379" w:rsidRDefault="00C23D79" w:rsidP="006549C5">
            <w:pPr>
              <w:snapToGrid w:val="0"/>
              <w:spacing w:line="260" w:lineRule="exact"/>
              <w:rPr>
                <w:rFonts w:ascii="宋体" w:hAnsi="宋体" w:cs="仿宋"/>
                <w:b/>
                <w:szCs w:val="21"/>
              </w:rPr>
            </w:pPr>
            <w:r w:rsidRPr="00CD5379">
              <w:rPr>
                <w:rFonts w:ascii="宋体" w:hAnsi="宋体" w:cs="仿宋" w:hint="eastAsia"/>
                <w:b/>
                <w:szCs w:val="21"/>
              </w:rPr>
              <w:t>长期医嘱：</w:t>
            </w:r>
          </w:p>
          <w:p w:rsidR="00D73757"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外科</w:t>
            </w:r>
            <w:r w:rsidR="003C1A2C">
              <w:rPr>
                <w:rFonts w:ascii="宋体" w:hAnsi="宋体" w:cs="仿宋" w:hint="eastAsia"/>
                <w:szCs w:val="21"/>
              </w:rPr>
              <w:t>二</w:t>
            </w:r>
            <w:r w:rsidRPr="00CD5379">
              <w:rPr>
                <w:rFonts w:ascii="宋体" w:hAnsi="宋体" w:cs="仿宋" w:hint="eastAsia"/>
                <w:szCs w:val="21"/>
              </w:rPr>
              <w:t>级护理常规</w:t>
            </w:r>
          </w:p>
          <w:p w:rsidR="00C23D79" w:rsidRPr="00D73757" w:rsidRDefault="00C23D79" w:rsidP="006549C5">
            <w:pPr>
              <w:numPr>
                <w:ilvl w:val="0"/>
                <w:numId w:val="1"/>
              </w:numPr>
              <w:snapToGrid w:val="0"/>
              <w:spacing w:line="260" w:lineRule="exact"/>
              <w:ind w:left="0" w:firstLine="0"/>
              <w:rPr>
                <w:rFonts w:ascii="宋体" w:hAnsi="宋体" w:cs="仿宋"/>
                <w:szCs w:val="21"/>
              </w:rPr>
            </w:pPr>
            <w:r w:rsidRPr="00D73757">
              <w:rPr>
                <w:rFonts w:ascii="宋体" w:hAnsi="宋体" w:cs="仿宋" w:hint="eastAsia"/>
                <w:szCs w:val="21"/>
              </w:rPr>
              <w:t>普食</w:t>
            </w:r>
          </w:p>
          <w:p w:rsidR="003C1A2C" w:rsidRPr="003C1A2C" w:rsidRDefault="003C1A2C" w:rsidP="006549C5">
            <w:pPr>
              <w:numPr>
                <w:ilvl w:val="0"/>
                <w:numId w:val="1"/>
              </w:numPr>
              <w:snapToGrid w:val="0"/>
              <w:spacing w:line="260" w:lineRule="exact"/>
              <w:ind w:left="0" w:firstLine="0"/>
              <w:rPr>
                <w:rFonts w:ascii="宋体" w:hAnsi="宋体" w:cs="仿宋"/>
                <w:b/>
                <w:szCs w:val="21"/>
              </w:rPr>
            </w:pPr>
            <w:r>
              <w:rPr>
                <w:rFonts w:ascii="宋体" w:hAnsi="宋体" w:cs="仿宋" w:hint="eastAsia"/>
                <w:szCs w:val="21"/>
              </w:rPr>
              <w:t>抗菌素眼水点眼4次/天</w:t>
            </w:r>
          </w:p>
          <w:p w:rsidR="00A13038" w:rsidRDefault="00A13038" w:rsidP="006549C5">
            <w:pPr>
              <w:snapToGrid w:val="0"/>
              <w:spacing w:line="260" w:lineRule="exact"/>
              <w:rPr>
                <w:rFonts w:ascii="宋体" w:hAnsi="宋体" w:cs="仿宋"/>
                <w:szCs w:val="21"/>
              </w:rPr>
            </w:pP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患者既往基础用药</w:t>
            </w:r>
          </w:p>
          <w:p w:rsidR="00C23D79" w:rsidRPr="00CD5379" w:rsidRDefault="00C23D79" w:rsidP="006549C5">
            <w:pPr>
              <w:snapToGrid w:val="0"/>
              <w:spacing w:line="260" w:lineRule="exact"/>
              <w:rPr>
                <w:rFonts w:ascii="宋体" w:hAnsi="宋体" w:cs="仿宋"/>
                <w:b/>
                <w:szCs w:val="21"/>
              </w:rPr>
            </w:pPr>
            <w:r w:rsidRPr="00CD5379">
              <w:rPr>
                <w:rFonts w:ascii="宋体" w:hAnsi="宋体" w:cs="仿宋" w:hint="eastAsia"/>
                <w:b/>
                <w:szCs w:val="21"/>
              </w:rPr>
              <w:t>临时医嘱：</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血常规+血型、尿常规</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凝血功能、肝肾功能、心电图</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术前医嘱：</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常规准备明日在/局麻/全麻下行下睑袋矫正术</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术前禁食水</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药敏试验</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相应治疗（视情况）</w:t>
            </w:r>
          </w:p>
        </w:tc>
        <w:tc>
          <w:tcPr>
            <w:tcW w:w="2279" w:type="dxa"/>
          </w:tcPr>
          <w:p w:rsidR="00C23D79" w:rsidRPr="00CD5379" w:rsidRDefault="00C23D79" w:rsidP="006549C5">
            <w:pPr>
              <w:snapToGrid w:val="0"/>
              <w:spacing w:line="260" w:lineRule="exact"/>
              <w:rPr>
                <w:rFonts w:ascii="宋体" w:hAnsi="宋体" w:cs="仿宋"/>
                <w:szCs w:val="21"/>
              </w:rPr>
            </w:pPr>
            <w:r w:rsidRPr="00CD5379">
              <w:rPr>
                <w:rFonts w:ascii="宋体" w:hAnsi="宋体" w:cs="仿宋" w:hint="eastAsia"/>
                <w:b/>
                <w:szCs w:val="21"/>
              </w:rPr>
              <w:t>长期医嘱</w:t>
            </w:r>
            <w:r w:rsidRPr="00CD5379">
              <w:rPr>
                <w:rFonts w:ascii="宋体" w:hAnsi="宋体" w:cs="仿宋" w:hint="eastAsia"/>
                <w:szCs w:val="21"/>
              </w:rPr>
              <w:t>：</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按相应麻醉术后护理</w:t>
            </w:r>
          </w:p>
          <w:p w:rsidR="00D73757"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饮食（禁食水6小时，全麻后）</w:t>
            </w:r>
          </w:p>
          <w:p w:rsidR="00C23D79" w:rsidRPr="00D73757" w:rsidRDefault="00C23D79" w:rsidP="006549C5">
            <w:pPr>
              <w:numPr>
                <w:ilvl w:val="0"/>
                <w:numId w:val="1"/>
              </w:numPr>
              <w:snapToGrid w:val="0"/>
              <w:spacing w:line="260" w:lineRule="exact"/>
              <w:ind w:left="0" w:firstLine="0"/>
              <w:rPr>
                <w:rFonts w:ascii="宋体" w:hAnsi="宋体" w:cs="仿宋"/>
                <w:szCs w:val="21"/>
              </w:rPr>
            </w:pPr>
            <w:r w:rsidRPr="00D73757">
              <w:rPr>
                <w:rFonts w:ascii="宋体" w:hAnsi="宋体" w:cs="仿宋" w:hint="eastAsia"/>
                <w:szCs w:val="21"/>
              </w:rPr>
              <w:t>心电监测6小时（全麻后）</w:t>
            </w:r>
          </w:p>
          <w:p w:rsidR="003C1A2C" w:rsidRPr="003C1A2C" w:rsidRDefault="003C1A2C" w:rsidP="006549C5">
            <w:pPr>
              <w:numPr>
                <w:ilvl w:val="0"/>
                <w:numId w:val="1"/>
              </w:numPr>
              <w:snapToGrid w:val="0"/>
              <w:spacing w:line="260" w:lineRule="exact"/>
              <w:ind w:left="0" w:firstLine="0"/>
              <w:rPr>
                <w:rFonts w:ascii="宋体" w:hAnsi="宋体" w:cs="仿宋"/>
                <w:b/>
                <w:szCs w:val="21"/>
              </w:rPr>
            </w:pPr>
            <w:r>
              <w:rPr>
                <w:rFonts w:ascii="宋体" w:hAnsi="宋体" w:cs="仿宋" w:hint="eastAsia"/>
                <w:szCs w:val="21"/>
              </w:rPr>
              <w:t>抗菌素眼膏点眼2次/天</w:t>
            </w:r>
          </w:p>
          <w:p w:rsidR="003C1A2C" w:rsidRPr="00CD5379" w:rsidRDefault="003C1A2C" w:rsidP="006549C5">
            <w:pPr>
              <w:numPr>
                <w:ilvl w:val="0"/>
                <w:numId w:val="1"/>
              </w:numPr>
              <w:snapToGrid w:val="0"/>
              <w:spacing w:line="260" w:lineRule="exact"/>
              <w:ind w:left="0" w:firstLine="0"/>
              <w:rPr>
                <w:rFonts w:ascii="宋体" w:hAnsi="宋体" w:cs="仿宋"/>
                <w:szCs w:val="21"/>
              </w:rPr>
            </w:pPr>
          </w:p>
          <w:p w:rsidR="00C23D79" w:rsidRPr="00CD5379" w:rsidRDefault="00C23D79" w:rsidP="006549C5">
            <w:pPr>
              <w:snapToGrid w:val="0"/>
              <w:spacing w:line="260" w:lineRule="exact"/>
              <w:rPr>
                <w:rFonts w:ascii="宋体" w:hAnsi="宋体" w:cs="仿宋"/>
                <w:b/>
                <w:szCs w:val="21"/>
              </w:rPr>
            </w:pPr>
            <w:r w:rsidRPr="00CD5379">
              <w:rPr>
                <w:rFonts w:ascii="宋体" w:hAnsi="宋体" w:cs="仿宋" w:hint="eastAsia"/>
                <w:b/>
                <w:szCs w:val="21"/>
              </w:rPr>
              <w:t>临时医嘱：</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酌情镇痛</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观察术后病情变化</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观察创口出血情况</w:t>
            </w:r>
          </w:p>
          <w:p w:rsidR="00C23D79" w:rsidRPr="00CD5379" w:rsidRDefault="00C23D79" w:rsidP="006549C5">
            <w:pPr>
              <w:numPr>
                <w:ilvl w:val="0"/>
                <w:numId w:val="1"/>
              </w:numPr>
              <w:snapToGrid w:val="0"/>
              <w:spacing w:line="260" w:lineRule="exact"/>
              <w:ind w:left="0" w:firstLine="0"/>
              <w:rPr>
                <w:rFonts w:ascii="宋体" w:hAnsi="宋体" w:cs="仿宋"/>
                <w:b/>
                <w:szCs w:val="21"/>
              </w:rPr>
            </w:pPr>
            <w:r w:rsidRPr="00CD5379">
              <w:rPr>
                <w:rFonts w:ascii="宋体" w:hAnsi="宋体" w:cs="仿宋" w:hint="eastAsia"/>
                <w:szCs w:val="21"/>
              </w:rPr>
              <w:t>给予术后饮食指导</w:t>
            </w:r>
          </w:p>
          <w:p w:rsidR="00C23D79" w:rsidRPr="00CD5379" w:rsidRDefault="00C23D79" w:rsidP="006549C5">
            <w:pPr>
              <w:numPr>
                <w:ilvl w:val="0"/>
                <w:numId w:val="1"/>
              </w:numPr>
              <w:snapToGrid w:val="0"/>
              <w:spacing w:line="260" w:lineRule="exact"/>
              <w:ind w:left="0" w:firstLine="0"/>
              <w:rPr>
                <w:rFonts w:ascii="宋体" w:hAnsi="宋体" w:cs="仿宋"/>
                <w:b/>
                <w:szCs w:val="21"/>
              </w:rPr>
            </w:pPr>
            <w:r w:rsidRPr="00CD5379">
              <w:rPr>
                <w:rFonts w:ascii="宋体" w:hAnsi="宋体" w:cs="仿宋" w:hint="eastAsia"/>
                <w:szCs w:val="21"/>
              </w:rPr>
              <w:t>指导并协助术后活动</w:t>
            </w:r>
          </w:p>
          <w:p w:rsidR="00C23D79" w:rsidRPr="00CD5379" w:rsidRDefault="00C23D79" w:rsidP="006549C5">
            <w:pPr>
              <w:snapToGrid w:val="0"/>
              <w:spacing w:line="260" w:lineRule="exact"/>
              <w:rPr>
                <w:rFonts w:ascii="宋体" w:hAnsi="宋体" w:cs="仿宋"/>
                <w:szCs w:val="21"/>
              </w:rPr>
            </w:pPr>
          </w:p>
        </w:tc>
        <w:tc>
          <w:tcPr>
            <w:tcW w:w="2280" w:type="dxa"/>
          </w:tcPr>
          <w:p w:rsidR="00C23D79" w:rsidRPr="00CD5379" w:rsidRDefault="00C23D79" w:rsidP="006549C5">
            <w:pPr>
              <w:spacing w:line="260" w:lineRule="exact"/>
              <w:rPr>
                <w:rFonts w:ascii="宋体" w:hAnsi="宋体" w:cs="仿宋"/>
                <w:b/>
                <w:szCs w:val="21"/>
              </w:rPr>
            </w:pPr>
            <w:r w:rsidRPr="00CD5379">
              <w:rPr>
                <w:rFonts w:ascii="宋体" w:hAnsi="宋体" w:cs="仿宋" w:hint="eastAsia"/>
                <w:b/>
                <w:szCs w:val="21"/>
              </w:rPr>
              <w:t>临时医嘱：</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切口换药（酌情）</w:t>
            </w:r>
          </w:p>
          <w:p w:rsidR="00C23D79" w:rsidRPr="00CD5379" w:rsidRDefault="00C23D79" w:rsidP="006549C5">
            <w:pPr>
              <w:spacing w:line="260" w:lineRule="exact"/>
              <w:rPr>
                <w:rFonts w:ascii="宋体" w:hAnsi="宋体" w:cs="仿宋"/>
                <w:b/>
                <w:szCs w:val="21"/>
              </w:rPr>
            </w:pPr>
            <w:r w:rsidRPr="00CD5379">
              <w:rPr>
                <w:rFonts w:ascii="宋体" w:hAnsi="宋体" w:cs="仿宋" w:hint="eastAsia"/>
                <w:b/>
                <w:szCs w:val="21"/>
              </w:rPr>
              <w:t>出院医嘱：</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出院后相关用药</w:t>
            </w:r>
          </w:p>
          <w:p w:rsidR="00C23D79" w:rsidRPr="00CD5379" w:rsidRDefault="00C23D79" w:rsidP="006549C5">
            <w:pPr>
              <w:numPr>
                <w:ilvl w:val="0"/>
                <w:numId w:val="1"/>
              </w:numPr>
              <w:tabs>
                <w:tab w:val="left" w:pos="360"/>
              </w:tabs>
              <w:spacing w:line="260" w:lineRule="exact"/>
              <w:ind w:left="0" w:firstLine="0"/>
              <w:rPr>
                <w:rFonts w:ascii="宋体" w:hAnsi="宋体" w:cs="仿宋"/>
                <w:szCs w:val="21"/>
              </w:rPr>
            </w:pPr>
            <w:r w:rsidRPr="00CD5379">
              <w:rPr>
                <w:rFonts w:ascii="宋体" w:hAnsi="宋体" w:cs="仿宋" w:hint="eastAsia"/>
                <w:szCs w:val="21"/>
              </w:rPr>
              <w:t>伤口门诊拆线</w:t>
            </w:r>
          </w:p>
        </w:tc>
      </w:tr>
      <w:tr w:rsidR="00C23D79" w:rsidRPr="00CD5379" w:rsidTr="001F0E99">
        <w:trPr>
          <w:cantSplit/>
          <w:trHeight w:val="1838"/>
          <w:jc w:val="center"/>
        </w:trPr>
        <w:tc>
          <w:tcPr>
            <w:tcW w:w="744" w:type="dxa"/>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主要</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护理</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工作</w:t>
            </w:r>
          </w:p>
        </w:tc>
        <w:tc>
          <w:tcPr>
            <w:tcW w:w="4268" w:type="dxa"/>
          </w:tcPr>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入院介绍</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入院评估</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静脉抽血</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健康教育</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饮食指导</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顾客相关检查配合的指导</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执行入院后医嘱</w:t>
            </w:r>
          </w:p>
          <w:p w:rsidR="00C23D79" w:rsidRPr="00CD5379" w:rsidRDefault="00C23D79" w:rsidP="006549C5">
            <w:pPr>
              <w:numPr>
                <w:ilvl w:val="0"/>
                <w:numId w:val="1"/>
              </w:numPr>
              <w:snapToGrid w:val="0"/>
              <w:spacing w:line="260" w:lineRule="exact"/>
              <w:ind w:left="0" w:firstLine="0"/>
              <w:rPr>
                <w:rFonts w:ascii="宋体" w:hAnsi="宋体" w:cs="仿宋"/>
                <w:bCs/>
                <w:szCs w:val="21"/>
              </w:rPr>
            </w:pPr>
            <w:r w:rsidRPr="00CD5379">
              <w:rPr>
                <w:rFonts w:ascii="宋体" w:hAnsi="宋体" w:cs="仿宋" w:hint="eastAsia"/>
                <w:szCs w:val="21"/>
              </w:rPr>
              <w:t>心理支持</w:t>
            </w:r>
          </w:p>
        </w:tc>
        <w:tc>
          <w:tcPr>
            <w:tcW w:w="2279" w:type="dxa"/>
          </w:tcPr>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术后活动：自动体位</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密切观察顾客情况</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疼痛护理</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生活护理</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术后饮食指导</w:t>
            </w:r>
          </w:p>
          <w:p w:rsidR="00C23D79" w:rsidRPr="00CD5379" w:rsidRDefault="00C23D79" w:rsidP="006549C5">
            <w:pPr>
              <w:numPr>
                <w:ilvl w:val="0"/>
                <w:numId w:val="1"/>
              </w:numPr>
              <w:snapToGrid w:val="0"/>
              <w:spacing w:line="260" w:lineRule="exact"/>
              <w:ind w:left="0" w:firstLine="0"/>
              <w:rPr>
                <w:rFonts w:ascii="宋体" w:hAnsi="宋体" w:cs="仿宋"/>
                <w:szCs w:val="21"/>
              </w:rPr>
            </w:pPr>
            <w:r w:rsidRPr="00CD5379">
              <w:rPr>
                <w:rFonts w:ascii="宋体" w:hAnsi="宋体" w:cs="仿宋" w:hint="eastAsia"/>
                <w:szCs w:val="21"/>
              </w:rPr>
              <w:t>心理支持</w:t>
            </w:r>
          </w:p>
        </w:tc>
        <w:tc>
          <w:tcPr>
            <w:tcW w:w="2280" w:type="dxa"/>
          </w:tcPr>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出院指导</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办理出院手续</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复诊时间</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作息、饮食、活动</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服药指导</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日常保健</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清洁卫生</w:t>
            </w:r>
          </w:p>
          <w:p w:rsidR="00C23D79" w:rsidRPr="00CD5379" w:rsidRDefault="00C23D79" w:rsidP="006549C5">
            <w:pPr>
              <w:numPr>
                <w:ilvl w:val="0"/>
                <w:numId w:val="1"/>
              </w:numPr>
              <w:spacing w:line="260" w:lineRule="exact"/>
              <w:ind w:left="0" w:firstLine="0"/>
              <w:rPr>
                <w:rFonts w:ascii="宋体" w:hAnsi="宋体" w:cs="仿宋"/>
                <w:szCs w:val="21"/>
              </w:rPr>
            </w:pPr>
            <w:r w:rsidRPr="00CD5379">
              <w:rPr>
                <w:rFonts w:ascii="宋体" w:hAnsi="宋体" w:cs="仿宋" w:hint="eastAsia"/>
                <w:szCs w:val="21"/>
              </w:rPr>
              <w:t>疾病知识</w:t>
            </w:r>
          </w:p>
          <w:p w:rsidR="00C23D79" w:rsidRPr="00CD5379" w:rsidRDefault="00C23D79" w:rsidP="006549C5">
            <w:pPr>
              <w:spacing w:line="260" w:lineRule="exact"/>
              <w:rPr>
                <w:rFonts w:ascii="宋体" w:hAnsi="宋体" w:cs="仿宋"/>
                <w:szCs w:val="21"/>
              </w:rPr>
            </w:pPr>
          </w:p>
        </w:tc>
      </w:tr>
      <w:tr w:rsidR="00C23D79" w:rsidRPr="00CD5379" w:rsidTr="001F0E99">
        <w:trPr>
          <w:jc w:val="center"/>
        </w:trPr>
        <w:tc>
          <w:tcPr>
            <w:tcW w:w="744" w:type="dxa"/>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病情变异记录</w:t>
            </w:r>
          </w:p>
        </w:tc>
        <w:tc>
          <w:tcPr>
            <w:tcW w:w="4268" w:type="dxa"/>
          </w:tcPr>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 无  □ 有，原因：</w:t>
            </w:r>
          </w:p>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1.</w:t>
            </w:r>
          </w:p>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2.</w:t>
            </w:r>
          </w:p>
        </w:tc>
        <w:tc>
          <w:tcPr>
            <w:tcW w:w="2279" w:type="dxa"/>
          </w:tcPr>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 无  □ 有，原因：</w:t>
            </w:r>
          </w:p>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1.</w:t>
            </w:r>
          </w:p>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2.</w:t>
            </w:r>
          </w:p>
        </w:tc>
        <w:tc>
          <w:tcPr>
            <w:tcW w:w="2280" w:type="dxa"/>
          </w:tcPr>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 无  □ 有，原因：</w:t>
            </w:r>
          </w:p>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1.</w:t>
            </w:r>
          </w:p>
          <w:p w:rsidR="00C23D79" w:rsidRPr="00CD5379" w:rsidRDefault="00C23D79" w:rsidP="006549C5">
            <w:pPr>
              <w:spacing w:line="260" w:lineRule="exact"/>
              <w:rPr>
                <w:rFonts w:ascii="宋体" w:hAnsi="宋体" w:cs="仿宋"/>
                <w:bCs/>
                <w:szCs w:val="21"/>
              </w:rPr>
            </w:pPr>
            <w:r w:rsidRPr="00CD5379">
              <w:rPr>
                <w:rFonts w:ascii="宋体" w:hAnsi="宋体" w:cs="仿宋" w:hint="eastAsia"/>
                <w:bCs/>
                <w:szCs w:val="21"/>
              </w:rPr>
              <w:t>2.</w:t>
            </w:r>
          </w:p>
        </w:tc>
      </w:tr>
      <w:tr w:rsidR="00C23D79" w:rsidRPr="00CD5379" w:rsidTr="001F0E99">
        <w:trPr>
          <w:trHeight w:val="317"/>
          <w:jc w:val="center"/>
        </w:trPr>
        <w:tc>
          <w:tcPr>
            <w:tcW w:w="744" w:type="dxa"/>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lastRenderedPageBreak/>
              <w:t>护士</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签名</w:t>
            </w:r>
          </w:p>
        </w:tc>
        <w:tc>
          <w:tcPr>
            <w:tcW w:w="4268" w:type="dxa"/>
          </w:tcPr>
          <w:p w:rsidR="00C23D79" w:rsidRPr="00CD5379" w:rsidRDefault="00C23D79" w:rsidP="006549C5">
            <w:pPr>
              <w:spacing w:line="260" w:lineRule="exact"/>
              <w:jc w:val="center"/>
              <w:rPr>
                <w:rFonts w:ascii="宋体" w:hAnsi="宋体" w:cs="仿宋"/>
                <w:szCs w:val="21"/>
              </w:rPr>
            </w:pPr>
          </w:p>
        </w:tc>
        <w:tc>
          <w:tcPr>
            <w:tcW w:w="2279" w:type="dxa"/>
          </w:tcPr>
          <w:p w:rsidR="00C23D79" w:rsidRPr="00CD5379" w:rsidRDefault="00C23D79" w:rsidP="006549C5">
            <w:pPr>
              <w:spacing w:line="260" w:lineRule="exact"/>
              <w:jc w:val="center"/>
              <w:rPr>
                <w:rFonts w:ascii="宋体" w:hAnsi="宋体" w:cs="仿宋"/>
                <w:szCs w:val="21"/>
              </w:rPr>
            </w:pPr>
          </w:p>
        </w:tc>
        <w:tc>
          <w:tcPr>
            <w:tcW w:w="2280" w:type="dxa"/>
          </w:tcPr>
          <w:p w:rsidR="00C23D79" w:rsidRPr="00CD5379" w:rsidRDefault="00C23D79" w:rsidP="006549C5">
            <w:pPr>
              <w:spacing w:line="260" w:lineRule="exact"/>
              <w:jc w:val="center"/>
              <w:rPr>
                <w:rFonts w:ascii="宋体" w:hAnsi="宋体" w:cs="仿宋"/>
                <w:szCs w:val="21"/>
              </w:rPr>
            </w:pPr>
          </w:p>
        </w:tc>
      </w:tr>
      <w:tr w:rsidR="00C23D79" w:rsidRPr="00CD5379" w:rsidTr="001F0E99">
        <w:trPr>
          <w:trHeight w:val="653"/>
          <w:jc w:val="center"/>
        </w:trPr>
        <w:tc>
          <w:tcPr>
            <w:tcW w:w="744" w:type="dxa"/>
            <w:vAlign w:val="center"/>
          </w:tcPr>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医师</w:t>
            </w:r>
          </w:p>
          <w:p w:rsidR="00C23D79" w:rsidRPr="006549C5" w:rsidRDefault="00C23D79" w:rsidP="006549C5">
            <w:pPr>
              <w:spacing w:line="260" w:lineRule="exact"/>
              <w:jc w:val="center"/>
              <w:rPr>
                <w:rFonts w:ascii="黑体" w:eastAsia="黑体" w:hAnsi="黑体" w:cs="仿宋"/>
                <w:szCs w:val="21"/>
              </w:rPr>
            </w:pPr>
            <w:r w:rsidRPr="006549C5">
              <w:rPr>
                <w:rFonts w:ascii="黑体" w:eastAsia="黑体" w:hAnsi="黑体" w:cs="仿宋" w:hint="eastAsia"/>
                <w:szCs w:val="21"/>
              </w:rPr>
              <w:t>签名</w:t>
            </w:r>
          </w:p>
        </w:tc>
        <w:tc>
          <w:tcPr>
            <w:tcW w:w="4268" w:type="dxa"/>
          </w:tcPr>
          <w:p w:rsidR="00C23D79" w:rsidRPr="00CD5379" w:rsidRDefault="00C23D79" w:rsidP="006549C5">
            <w:pPr>
              <w:spacing w:line="260" w:lineRule="exact"/>
              <w:rPr>
                <w:rFonts w:ascii="宋体" w:hAnsi="宋体" w:cs="仿宋"/>
                <w:szCs w:val="21"/>
              </w:rPr>
            </w:pPr>
          </w:p>
        </w:tc>
        <w:tc>
          <w:tcPr>
            <w:tcW w:w="2279" w:type="dxa"/>
          </w:tcPr>
          <w:p w:rsidR="00C23D79" w:rsidRPr="00CD5379" w:rsidRDefault="00C23D79" w:rsidP="006549C5">
            <w:pPr>
              <w:spacing w:line="260" w:lineRule="exact"/>
              <w:rPr>
                <w:rFonts w:ascii="宋体" w:hAnsi="宋体" w:cs="仿宋"/>
                <w:szCs w:val="21"/>
              </w:rPr>
            </w:pPr>
          </w:p>
        </w:tc>
        <w:tc>
          <w:tcPr>
            <w:tcW w:w="2280" w:type="dxa"/>
          </w:tcPr>
          <w:p w:rsidR="00C23D79" w:rsidRPr="00CD5379" w:rsidRDefault="00C23D79" w:rsidP="006549C5">
            <w:pPr>
              <w:spacing w:line="260" w:lineRule="exact"/>
              <w:rPr>
                <w:rFonts w:ascii="宋体" w:hAnsi="宋体" w:cs="仿宋"/>
                <w:szCs w:val="21"/>
              </w:rPr>
            </w:pPr>
          </w:p>
        </w:tc>
      </w:tr>
    </w:tbl>
    <w:p w:rsidR="00C23D79" w:rsidRPr="00CD5379" w:rsidRDefault="00C23D79" w:rsidP="006549C5">
      <w:pPr>
        <w:spacing w:line="260" w:lineRule="exact"/>
        <w:jc w:val="center"/>
        <w:rPr>
          <w:rFonts w:ascii="宋体" w:hAnsi="宋体" w:cs="仿宋"/>
          <w:b/>
          <w:szCs w:val="21"/>
        </w:rPr>
      </w:pPr>
    </w:p>
    <w:p w:rsidR="00C23D79" w:rsidRPr="00380FB3" w:rsidRDefault="00C23D79" w:rsidP="006549C5">
      <w:pPr>
        <w:spacing w:line="260" w:lineRule="exact"/>
        <w:jc w:val="center"/>
        <w:rPr>
          <w:rFonts w:ascii="仿宋" w:eastAsia="仿宋" w:hAnsi="仿宋" w:cs="仿宋"/>
          <w:b/>
          <w:sz w:val="32"/>
          <w:szCs w:val="32"/>
        </w:rPr>
      </w:pPr>
    </w:p>
    <w:p w:rsidR="00DD785C" w:rsidRDefault="00DD785C" w:rsidP="006549C5">
      <w:pPr>
        <w:spacing w:line="260" w:lineRule="exact"/>
      </w:pPr>
    </w:p>
    <w:sectPr w:rsidR="00DD785C" w:rsidSect="00DD7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25" w:rsidRDefault="00E63025" w:rsidP="00C23D79">
      <w:r>
        <w:separator/>
      </w:r>
    </w:p>
  </w:endnote>
  <w:endnote w:type="continuationSeparator" w:id="0">
    <w:p w:rsidR="00E63025" w:rsidRDefault="00E63025" w:rsidP="00C2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25" w:rsidRDefault="00E63025" w:rsidP="00C23D79">
      <w:r>
        <w:separator/>
      </w:r>
    </w:p>
  </w:footnote>
  <w:footnote w:type="continuationSeparator" w:id="0">
    <w:p w:rsidR="00E63025" w:rsidRDefault="00E63025" w:rsidP="00C2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69256B5"/>
    <w:multiLevelType w:val="multilevel"/>
    <w:tmpl w:val="00000000"/>
    <w:lvl w:ilvl="0">
      <w:numFmt w:val="bullet"/>
      <w:lvlText w:val="□"/>
      <w:lvlJc w:val="left"/>
      <w:pPr>
        <w:tabs>
          <w:tab w:val="num" w:pos="360"/>
        </w:tabs>
        <w:ind w:left="360" w:hanging="360"/>
      </w:pPr>
      <w:rPr>
        <w:rFonts w:ascii="宋体" w:eastAsia="宋体" w:hAnsi="宋体" w:cs="Times New Roman" w:hint="eastAsia"/>
        <w:color w:val="0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3D79"/>
    <w:rsid w:val="00055EF2"/>
    <w:rsid w:val="000B497B"/>
    <w:rsid w:val="00336C1F"/>
    <w:rsid w:val="00394231"/>
    <w:rsid w:val="003C1A2C"/>
    <w:rsid w:val="00433E1B"/>
    <w:rsid w:val="0048766D"/>
    <w:rsid w:val="00602AFC"/>
    <w:rsid w:val="006549C5"/>
    <w:rsid w:val="006D345F"/>
    <w:rsid w:val="007D47A6"/>
    <w:rsid w:val="009D2DB5"/>
    <w:rsid w:val="00A13038"/>
    <w:rsid w:val="00B25200"/>
    <w:rsid w:val="00C23D79"/>
    <w:rsid w:val="00D06885"/>
    <w:rsid w:val="00D73757"/>
    <w:rsid w:val="00DD785C"/>
    <w:rsid w:val="00DE591D"/>
    <w:rsid w:val="00E630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BA5DFE-A1F0-4120-8928-DF6E86EA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D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D79"/>
    <w:rPr>
      <w:sz w:val="18"/>
      <w:szCs w:val="18"/>
    </w:rPr>
  </w:style>
  <w:style w:type="paragraph" w:styleId="a4">
    <w:name w:val="footer"/>
    <w:basedOn w:val="a"/>
    <w:link w:val="Char0"/>
    <w:uiPriority w:val="99"/>
    <w:semiHidden/>
    <w:unhideWhenUsed/>
    <w:rsid w:val="00C23D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3D79"/>
    <w:rPr>
      <w:sz w:val="18"/>
      <w:szCs w:val="18"/>
    </w:rPr>
  </w:style>
  <w:style w:type="paragraph" w:styleId="a5">
    <w:name w:val="Body Text Indent"/>
    <w:basedOn w:val="a"/>
    <w:link w:val="Char1"/>
    <w:rsid w:val="00C23D79"/>
    <w:pPr>
      <w:spacing w:after="120"/>
      <w:ind w:leftChars="200" w:left="420"/>
    </w:pPr>
    <w:rPr>
      <w:rFonts w:ascii="Times New Roman" w:hAnsi="Times New Roman"/>
      <w:szCs w:val="20"/>
    </w:rPr>
  </w:style>
  <w:style w:type="character" w:customStyle="1" w:styleId="Char1">
    <w:name w:val="正文文本缩进 Char"/>
    <w:basedOn w:val="a0"/>
    <w:link w:val="a5"/>
    <w:rsid w:val="00C23D79"/>
    <w:rPr>
      <w:rFonts w:ascii="Times New Roman" w:eastAsia="宋体" w:hAnsi="Times New Roman" w:cs="Times New Roman"/>
      <w:szCs w:val="20"/>
    </w:rPr>
  </w:style>
  <w:style w:type="character" w:styleId="a6">
    <w:name w:val="annotation reference"/>
    <w:basedOn w:val="a0"/>
    <w:uiPriority w:val="99"/>
    <w:semiHidden/>
    <w:unhideWhenUsed/>
    <w:rsid w:val="003C1A2C"/>
    <w:rPr>
      <w:sz w:val="21"/>
      <w:szCs w:val="21"/>
    </w:rPr>
  </w:style>
  <w:style w:type="paragraph" w:styleId="a7">
    <w:name w:val="annotation text"/>
    <w:basedOn w:val="a"/>
    <w:link w:val="Char2"/>
    <w:uiPriority w:val="99"/>
    <w:semiHidden/>
    <w:unhideWhenUsed/>
    <w:rsid w:val="003C1A2C"/>
    <w:pPr>
      <w:jc w:val="left"/>
    </w:pPr>
  </w:style>
  <w:style w:type="character" w:customStyle="1" w:styleId="Char2">
    <w:name w:val="批注文字 Char"/>
    <w:basedOn w:val="a0"/>
    <w:link w:val="a7"/>
    <w:uiPriority w:val="99"/>
    <w:semiHidden/>
    <w:rsid w:val="003C1A2C"/>
    <w:rPr>
      <w:rFonts w:ascii="Calibri" w:eastAsia="宋体" w:hAnsi="Calibri" w:cs="Times New Roman"/>
    </w:rPr>
  </w:style>
  <w:style w:type="paragraph" w:styleId="a8">
    <w:name w:val="annotation subject"/>
    <w:basedOn w:val="a7"/>
    <w:next w:val="a7"/>
    <w:link w:val="Char3"/>
    <w:uiPriority w:val="99"/>
    <w:semiHidden/>
    <w:unhideWhenUsed/>
    <w:rsid w:val="003C1A2C"/>
    <w:rPr>
      <w:b/>
      <w:bCs/>
    </w:rPr>
  </w:style>
  <w:style w:type="character" w:customStyle="1" w:styleId="Char3">
    <w:name w:val="批注主题 Char"/>
    <w:basedOn w:val="Char2"/>
    <w:link w:val="a8"/>
    <w:uiPriority w:val="99"/>
    <w:semiHidden/>
    <w:rsid w:val="003C1A2C"/>
    <w:rPr>
      <w:rFonts w:ascii="Calibri" w:eastAsia="宋体" w:hAnsi="Calibri" w:cs="Times New Roman"/>
      <w:b/>
      <w:bCs/>
    </w:rPr>
  </w:style>
  <w:style w:type="paragraph" w:styleId="a9">
    <w:name w:val="Balloon Text"/>
    <w:basedOn w:val="a"/>
    <w:link w:val="Char4"/>
    <w:uiPriority w:val="99"/>
    <w:semiHidden/>
    <w:unhideWhenUsed/>
    <w:rsid w:val="003C1A2C"/>
    <w:rPr>
      <w:sz w:val="18"/>
      <w:szCs w:val="18"/>
    </w:rPr>
  </w:style>
  <w:style w:type="character" w:customStyle="1" w:styleId="Char4">
    <w:name w:val="批注框文本 Char"/>
    <w:basedOn w:val="a0"/>
    <w:link w:val="a9"/>
    <w:uiPriority w:val="99"/>
    <w:semiHidden/>
    <w:rsid w:val="003C1A2C"/>
    <w:rPr>
      <w:rFonts w:ascii="Calibri" w:eastAsia="宋体" w:hAnsi="Calibri" w:cs="Times New Roman"/>
      <w:sz w:val="18"/>
      <w:szCs w:val="18"/>
    </w:rPr>
  </w:style>
  <w:style w:type="paragraph" w:styleId="aa">
    <w:name w:val="Title"/>
    <w:basedOn w:val="a"/>
    <w:next w:val="a"/>
    <w:link w:val="Char5"/>
    <w:uiPriority w:val="10"/>
    <w:qFormat/>
    <w:rsid w:val="00D068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a"/>
    <w:uiPriority w:val="10"/>
    <w:rsid w:val="00D0688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刘立煌</cp:lastModifiedBy>
  <cp:revision>9</cp:revision>
  <dcterms:created xsi:type="dcterms:W3CDTF">2016-11-01T10:15:00Z</dcterms:created>
  <dcterms:modified xsi:type="dcterms:W3CDTF">2016-11-28T08:33:00Z</dcterms:modified>
</cp:coreProperties>
</file>